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288" w:type="dxa"/>
        <w:tblBorders>
          <w:top w:val="single" w:sz="24" w:space="0" w:color="auto"/>
          <w:left w:val="single" w:sz="24" w:space="0" w:color="auto"/>
          <w:bottom w:val="single" w:sz="24" w:space="0" w:color="auto"/>
          <w:right w:val="single" w:sz="24" w:space="0" w:color="auto"/>
        </w:tblBorders>
        <w:tblLook w:val="01E0" w:firstRow="1" w:lastRow="1" w:firstColumn="1" w:lastColumn="1" w:noHBand="0" w:noVBand="0"/>
      </w:tblPr>
      <w:tblGrid>
        <w:gridCol w:w="2013"/>
        <w:gridCol w:w="7275"/>
      </w:tblGrid>
      <w:tr>
        <w:trPr>
          <w:trHeight w:val="1192"/>
        </w:trPr>
        <w:tc>
          <w:tcPr>
            <w:tcW w:w="2013" w:type="dxa"/>
          </w:tcPr>
          <w:p>
            <w:pPr>
              <w:jc w:val="center"/>
              <w:rPr>
                <w:rFonts w:ascii="Verdana" w:hAnsi="Verdana"/>
                <w:b/>
                <w:color w:val="FF0000"/>
                <w:sz w:val="16"/>
                <w:szCs w:val="16"/>
              </w:rPr>
            </w:pPr>
            <w:bookmarkStart w:id="0" w:name="_GoBack"/>
            <w:bookmarkEnd w:id="0"/>
            <w:r>
              <w:rPr>
                <w:rFonts w:ascii="Verdana" w:hAnsi="Verdana"/>
                <w:b/>
                <w:noProof/>
                <w:color w:val="FF0000"/>
                <w:sz w:val="16"/>
                <w:szCs w:val="16"/>
                <w:lang w:val="fr-BE" w:eastAsia="fr-BE"/>
              </w:rPr>
              <w:drawing>
                <wp:anchor distT="0" distB="0" distL="114300" distR="114300" simplePos="0" relativeHeight="251658240" behindDoc="1" locked="0" layoutInCell="1" allowOverlap="1">
                  <wp:simplePos x="0" y="0"/>
                  <wp:positionH relativeFrom="column">
                    <wp:posOffset>18415</wp:posOffset>
                  </wp:positionH>
                  <wp:positionV relativeFrom="paragraph">
                    <wp:posOffset>-1083310</wp:posOffset>
                  </wp:positionV>
                  <wp:extent cx="849630" cy="958850"/>
                  <wp:effectExtent l="19050" t="0" r="7620" b="0"/>
                  <wp:wrapTight wrapText="bothSides">
                    <wp:wrapPolygon edited="0">
                      <wp:start x="-484" y="0"/>
                      <wp:lineTo x="-484" y="21028"/>
                      <wp:lineTo x="21794" y="21028"/>
                      <wp:lineTo x="21794" y="0"/>
                      <wp:lineTo x="-484" y="0"/>
                    </wp:wrapPolygon>
                  </wp:wrapTight>
                  <wp:docPr id="7" name="Image 7" descr="Logo_FWB_Verti_Quad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_FWB_Verti_Quadri"/>
                          <pic:cNvPicPr>
                            <a:picLocks noChangeAspect="1" noChangeArrowheads="1"/>
                          </pic:cNvPicPr>
                        </pic:nvPicPr>
                        <pic:blipFill>
                          <a:blip r:embed="rId8" cstate="print"/>
                          <a:srcRect/>
                          <a:stretch>
                            <a:fillRect/>
                          </a:stretch>
                        </pic:blipFill>
                        <pic:spPr bwMode="auto">
                          <a:xfrm>
                            <a:off x="0" y="0"/>
                            <a:ext cx="849630" cy="958850"/>
                          </a:xfrm>
                          <a:prstGeom prst="rect">
                            <a:avLst/>
                          </a:prstGeom>
                          <a:noFill/>
                          <a:ln w="9525">
                            <a:noFill/>
                            <a:miter lim="800000"/>
                            <a:headEnd/>
                            <a:tailEnd/>
                          </a:ln>
                        </pic:spPr>
                      </pic:pic>
                    </a:graphicData>
                  </a:graphic>
                </wp:anchor>
              </w:drawing>
            </w:r>
          </w:p>
          <w:p>
            <w:pPr>
              <w:jc w:val="center"/>
              <w:rPr>
                <w:rFonts w:ascii="Verdana" w:hAnsi="Verdana"/>
                <w:b/>
                <w:color w:val="FF0000"/>
                <w:sz w:val="16"/>
                <w:szCs w:val="16"/>
              </w:rPr>
            </w:pPr>
          </w:p>
        </w:tc>
        <w:tc>
          <w:tcPr>
            <w:tcW w:w="7275" w:type="dxa"/>
            <w:shd w:val="clear" w:color="auto" w:fill="auto"/>
          </w:tcPr>
          <w:p>
            <w:pPr>
              <w:tabs>
                <w:tab w:val="left" w:pos="3941"/>
              </w:tabs>
            </w:pPr>
            <w:r>
              <w:rPr>
                <w:b/>
              </w:rPr>
              <w:t>Circulaire 6709</w:t>
            </w:r>
            <w:r>
              <w:rPr>
                <w:b/>
              </w:rPr>
              <w:tab/>
            </w:r>
            <w:r>
              <w:rPr>
                <w:b/>
              </w:rPr>
              <w:tab/>
              <w:t>du 25/06/2018</w:t>
            </w:r>
          </w:p>
          <w:p>
            <w:pPr>
              <w:jc w:val="both"/>
              <w:rPr>
                <w:b/>
              </w:rPr>
            </w:pPr>
            <w:r>
              <w:rPr>
                <w:b/>
              </w:rPr>
              <w:t>Recours contre les décisions des Conseils de classe et des Jurys de qualification dans l’enseignement secondaire ordinaire 2017-2018</w:t>
            </w:r>
          </w:p>
          <w:p>
            <w:pPr>
              <w:jc w:val="both"/>
              <w:rPr>
                <w:b/>
              </w:rPr>
            </w:pPr>
          </w:p>
          <w:p>
            <w:pPr>
              <w:jc w:val="both"/>
              <w:rPr>
                <w:b/>
                <w:i/>
                <w:color w:val="000000"/>
                <w:sz w:val="20"/>
                <w:szCs w:val="20"/>
              </w:rPr>
            </w:pPr>
            <w:r>
              <w:rPr>
                <w:b/>
                <w:i/>
                <w:color w:val="000000"/>
                <w:sz w:val="20"/>
                <w:szCs w:val="20"/>
              </w:rPr>
              <w:t>La présente circulaire abroge celle du 06 avril 2017 (n°6136)</w:t>
            </w:r>
          </w:p>
        </w:tc>
      </w:tr>
    </w:tbl>
    <w:p/>
    <w:tbl>
      <w:tblPr>
        <w:tblW w:w="9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28"/>
        <w:gridCol w:w="5492"/>
        <w:gridCol w:w="485"/>
      </w:tblGrid>
      <w:tr>
        <w:trPr>
          <w:trHeight w:val="2533"/>
        </w:trPr>
        <w:tc>
          <w:tcPr>
            <w:tcW w:w="3328" w:type="dxa"/>
            <w:vMerge w:val="restart"/>
          </w:tcPr>
          <w:p>
            <w:pPr>
              <w:ind w:left="180" w:hanging="180"/>
              <w:rPr>
                <w:b/>
                <w:sz w:val="16"/>
                <w:szCs w:val="16"/>
              </w:rPr>
            </w:pPr>
          </w:p>
          <w:p>
            <w:pPr>
              <w:shd w:val="clear" w:color="auto" w:fill="D9D9D9"/>
              <w:ind w:left="180" w:hanging="180"/>
              <w:rPr>
                <w:sz w:val="16"/>
                <w:szCs w:val="16"/>
              </w:rPr>
            </w:pPr>
            <w:r>
              <w:rPr>
                <w:b/>
                <w:sz w:val="16"/>
                <w:szCs w:val="16"/>
              </w:rPr>
              <w:t>Réseaux et niveaux concernés</w:t>
            </w:r>
          </w:p>
          <w:p>
            <w:pPr>
              <w:ind w:left="180" w:hanging="180"/>
              <w:rPr>
                <w:sz w:val="16"/>
                <w:szCs w:val="16"/>
              </w:rPr>
            </w:pPr>
          </w:p>
          <w:bookmarkStart w:id="1" w:name="CaseACocher3"/>
          <w:p>
            <w:pPr>
              <w:ind w:left="180" w:hanging="180"/>
              <w:rPr>
                <w:sz w:val="16"/>
                <w:szCs w:val="16"/>
              </w:rPr>
            </w:pPr>
            <w:r>
              <w:rPr>
                <w:sz w:val="16"/>
                <w:szCs w:val="16"/>
              </w:rPr>
              <w:fldChar w:fldCharType="begin">
                <w:ffData>
                  <w:name w:val="CaseACocher3"/>
                  <w:enabled/>
                  <w:calcOnExit w:val="0"/>
                  <w:checkBox>
                    <w:sizeAuto/>
                    <w:default w:val="1"/>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bookmarkEnd w:id="1"/>
            <w:r>
              <w:rPr>
                <w:sz w:val="16"/>
                <w:szCs w:val="16"/>
              </w:rPr>
              <w:t xml:space="preserve"> Fédération Wallonie-  Bruxelles </w:t>
            </w:r>
          </w:p>
          <w:p>
            <w:pPr>
              <w:ind w:left="180" w:hanging="180"/>
              <w:rPr>
                <w:sz w:val="16"/>
                <w:szCs w:val="16"/>
              </w:rPr>
            </w:pPr>
          </w:p>
          <w:bookmarkStart w:id="2" w:name="CaseACocher4"/>
          <w:p>
            <w:pPr>
              <w:ind w:left="180" w:hanging="180"/>
              <w:rPr>
                <w:sz w:val="16"/>
                <w:szCs w:val="16"/>
              </w:rPr>
            </w:pPr>
            <w:r>
              <w:rPr>
                <w:sz w:val="16"/>
                <w:szCs w:val="16"/>
              </w:rPr>
              <w:fldChar w:fldCharType="begin">
                <w:ffData>
                  <w:name w:val="CaseACocher4"/>
                  <w:enabled/>
                  <w:calcOnExit w:val="0"/>
                  <w:checkBox>
                    <w:sizeAuto/>
                    <w:default w:val="1"/>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bookmarkEnd w:id="2"/>
            <w:r>
              <w:rPr>
                <w:sz w:val="16"/>
                <w:szCs w:val="16"/>
              </w:rPr>
              <w:t xml:space="preserve">  Libre subventionné</w:t>
            </w:r>
          </w:p>
          <w:p>
            <w:pPr>
              <w:ind w:left="96"/>
              <w:rPr>
                <w:sz w:val="16"/>
                <w:szCs w:val="16"/>
              </w:rPr>
            </w:pPr>
            <w:r>
              <w:rPr>
                <w:rFonts w:ascii="Symbol" w:hAnsi="Symbol"/>
                <w:sz w:val="16"/>
                <w:szCs w:val="16"/>
              </w:rPr>
              <w:t></w:t>
            </w:r>
            <w:r>
              <w:rPr>
                <w:rFonts w:ascii="Symbol" w:hAnsi="Symbol"/>
                <w:sz w:val="16"/>
                <w:szCs w:val="16"/>
              </w:rPr>
              <w:t></w:t>
            </w:r>
            <w:r>
              <w:rPr>
                <w:rFonts w:ascii="Symbol" w:hAnsi="Symbol"/>
                <w:sz w:val="16"/>
                <w:szCs w:val="16"/>
              </w:rPr>
              <w:t></w:t>
            </w:r>
            <w:r>
              <w:rPr>
                <w:rFonts w:ascii="Symbol" w:hAnsi="Symbol"/>
                <w:sz w:val="16"/>
                <w:szCs w:val="16"/>
              </w:rPr>
              <w:t></w:t>
            </w:r>
            <w:r>
              <w:rPr>
                <w:rFonts w:ascii="Symbol" w:hAnsi="Symbol"/>
                <w:sz w:val="16"/>
                <w:szCs w:val="16"/>
              </w:rPr>
              <w:t></w:t>
            </w:r>
            <w:bookmarkStart w:id="3" w:name="CaseACocher5"/>
            <w:r>
              <w:rPr>
                <w:rFonts w:ascii="Symbol" w:hAnsi="Symbol"/>
                <w:sz w:val="16"/>
                <w:szCs w:val="16"/>
              </w:rPr>
              <w:fldChar w:fldCharType="begin">
                <w:ffData>
                  <w:name w:val="CaseACocher5"/>
                  <w:enabled/>
                  <w:calcOnExit w:val="0"/>
                  <w:checkBox>
                    <w:sizeAuto/>
                    <w:default w:val="1"/>
                  </w:checkBox>
                </w:ffData>
              </w:fldChar>
            </w:r>
            <w:r>
              <w:rPr>
                <w:rFonts w:ascii="Symbol" w:hAnsi="Symbol"/>
                <w:sz w:val="16"/>
                <w:szCs w:val="16"/>
              </w:rPr>
              <w:instrText xml:space="preserve"> FORMCHECKBOX </w:instrText>
            </w:r>
            <w:r>
              <w:rPr>
                <w:rFonts w:ascii="Symbol" w:hAnsi="Symbol"/>
                <w:sz w:val="16"/>
                <w:szCs w:val="16"/>
              </w:rPr>
            </w:r>
            <w:r>
              <w:rPr>
                <w:rFonts w:ascii="Symbol" w:hAnsi="Symbol"/>
                <w:sz w:val="16"/>
                <w:szCs w:val="16"/>
              </w:rPr>
              <w:fldChar w:fldCharType="separate"/>
            </w:r>
            <w:r>
              <w:rPr>
                <w:rFonts w:ascii="Symbol" w:hAnsi="Symbol"/>
                <w:sz w:val="16"/>
                <w:szCs w:val="16"/>
              </w:rPr>
              <w:fldChar w:fldCharType="end"/>
            </w:r>
            <w:bookmarkEnd w:id="3"/>
            <w:r>
              <w:rPr>
                <w:rFonts w:ascii="Symbol" w:hAnsi="Symbol"/>
                <w:sz w:val="16"/>
                <w:szCs w:val="16"/>
              </w:rPr>
              <w:t></w:t>
            </w:r>
            <w:r>
              <w:rPr>
                <w:rFonts w:ascii="Symbol" w:hAnsi="Symbol"/>
                <w:sz w:val="16"/>
                <w:szCs w:val="16"/>
              </w:rPr>
              <w:t></w:t>
            </w:r>
            <w:r>
              <w:rPr>
                <w:rFonts w:ascii="Symbol" w:hAnsi="Symbol"/>
                <w:sz w:val="16"/>
                <w:szCs w:val="16"/>
              </w:rPr>
              <w:t></w:t>
            </w:r>
            <w:r>
              <w:rPr>
                <w:rFonts w:ascii="Symbol" w:hAnsi="Symbol"/>
                <w:sz w:val="16"/>
                <w:szCs w:val="16"/>
              </w:rPr>
              <w:t></w:t>
            </w:r>
            <w:r>
              <w:rPr>
                <w:rFonts w:ascii="Symbol" w:hAnsi="Symbol"/>
                <w:sz w:val="16"/>
                <w:szCs w:val="16"/>
              </w:rPr>
              <w:t></w:t>
            </w:r>
            <w:r>
              <w:rPr>
                <w:sz w:val="16"/>
                <w:szCs w:val="16"/>
              </w:rPr>
              <w:t xml:space="preserve">libre confessionnel </w:t>
            </w:r>
          </w:p>
          <w:p>
            <w:pPr>
              <w:ind w:left="96"/>
              <w:rPr>
                <w:sz w:val="16"/>
                <w:szCs w:val="16"/>
              </w:rPr>
            </w:pPr>
            <w:r>
              <w:rPr>
                <w:rFonts w:ascii="Symbol" w:hAnsi="Symbol"/>
                <w:sz w:val="16"/>
                <w:szCs w:val="16"/>
              </w:rPr>
              <w:t></w:t>
            </w:r>
            <w:r>
              <w:rPr>
                <w:rFonts w:ascii="Symbol" w:hAnsi="Symbol"/>
                <w:sz w:val="16"/>
                <w:szCs w:val="16"/>
              </w:rPr>
              <w:t></w:t>
            </w:r>
            <w:r>
              <w:rPr>
                <w:rFonts w:ascii="Symbol" w:hAnsi="Symbol"/>
                <w:sz w:val="16"/>
                <w:szCs w:val="16"/>
              </w:rPr>
              <w:t></w:t>
            </w:r>
            <w:r>
              <w:rPr>
                <w:rFonts w:ascii="Symbol" w:hAnsi="Symbol"/>
                <w:sz w:val="16"/>
                <w:szCs w:val="16"/>
              </w:rPr>
              <w:t></w:t>
            </w:r>
            <w:r>
              <w:rPr>
                <w:rFonts w:ascii="Symbol" w:hAnsi="Symbol"/>
                <w:sz w:val="16"/>
                <w:szCs w:val="16"/>
              </w:rPr>
              <w:t></w:t>
            </w:r>
            <w:bookmarkStart w:id="4" w:name="CaseACocher6"/>
            <w:r>
              <w:rPr>
                <w:rFonts w:ascii="Symbol" w:hAnsi="Symbol"/>
                <w:sz w:val="16"/>
                <w:szCs w:val="16"/>
              </w:rPr>
              <w:fldChar w:fldCharType="begin">
                <w:ffData>
                  <w:name w:val="CaseACocher6"/>
                  <w:enabled/>
                  <w:calcOnExit w:val="0"/>
                  <w:checkBox>
                    <w:sizeAuto/>
                    <w:default w:val="1"/>
                  </w:checkBox>
                </w:ffData>
              </w:fldChar>
            </w:r>
            <w:r>
              <w:rPr>
                <w:rFonts w:ascii="Symbol" w:hAnsi="Symbol"/>
                <w:sz w:val="16"/>
                <w:szCs w:val="16"/>
              </w:rPr>
              <w:instrText xml:space="preserve"> FORMCHECKBOX </w:instrText>
            </w:r>
            <w:r>
              <w:rPr>
                <w:rFonts w:ascii="Symbol" w:hAnsi="Symbol"/>
                <w:sz w:val="16"/>
                <w:szCs w:val="16"/>
              </w:rPr>
            </w:r>
            <w:r>
              <w:rPr>
                <w:rFonts w:ascii="Symbol" w:hAnsi="Symbol"/>
                <w:sz w:val="16"/>
                <w:szCs w:val="16"/>
              </w:rPr>
              <w:fldChar w:fldCharType="separate"/>
            </w:r>
            <w:r>
              <w:rPr>
                <w:rFonts w:ascii="Symbol" w:hAnsi="Symbol"/>
                <w:sz w:val="16"/>
                <w:szCs w:val="16"/>
              </w:rPr>
              <w:fldChar w:fldCharType="end"/>
            </w:r>
            <w:bookmarkEnd w:id="4"/>
            <w:r>
              <w:rPr>
                <w:rFonts w:ascii="Symbol" w:hAnsi="Symbol"/>
                <w:sz w:val="16"/>
                <w:szCs w:val="16"/>
              </w:rPr>
              <w:t></w:t>
            </w:r>
            <w:r>
              <w:rPr>
                <w:rFonts w:ascii="Symbol" w:hAnsi="Symbol"/>
                <w:sz w:val="16"/>
                <w:szCs w:val="16"/>
              </w:rPr>
              <w:t></w:t>
            </w:r>
            <w:r>
              <w:rPr>
                <w:rFonts w:ascii="Symbol" w:hAnsi="Symbol"/>
                <w:sz w:val="16"/>
                <w:szCs w:val="16"/>
              </w:rPr>
              <w:t></w:t>
            </w:r>
            <w:r>
              <w:rPr>
                <w:rFonts w:ascii="Symbol" w:hAnsi="Symbol"/>
                <w:sz w:val="16"/>
                <w:szCs w:val="16"/>
              </w:rPr>
              <w:t></w:t>
            </w:r>
            <w:r>
              <w:rPr>
                <w:rFonts w:ascii="Symbol" w:hAnsi="Symbol"/>
                <w:sz w:val="16"/>
                <w:szCs w:val="16"/>
              </w:rPr>
              <w:t></w:t>
            </w:r>
            <w:r>
              <w:rPr>
                <w:sz w:val="16"/>
                <w:szCs w:val="16"/>
              </w:rPr>
              <w:t xml:space="preserve">libre non confessionnel) </w:t>
            </w:r>
          </w:p>
          <w:p>
            <w:pPr>
              <w:ind w:left="180" w:hanging="180"/>
              <w:rPr>
                <w:sz w:val="16"/>
                <w:szCs w:val="16"/>
              </w:rPr>
            </w:pPr>
          </w:p>
          <w:bookmarkStart w:id="5" w:name="CaseACocher7"/>
          <w:p>
            <w:pPr>
              <w:ind w:left="180" w:hanging="180"/>
              <w:rPr>
                <w:sz w:val="16"/>
                <w:szCs w:val="16"/>
              </w:rPr>
            </w:pPr>
            <w:r>
              <w:rPr>
                <w:sz w:val="16"/>
                <w:szCs w:val="16"/>
              </w:rPr>
              <w:fldChar w:fldCharType="begin">
                <w:ffData>
                  <w:name w:val="CaseACocher7"/>
                  <w:enabled/>
                  <w:calcOnExit w:val="0"/>
                  <w:checkBox>
                    <w:sizeAuto/>
                    <w:default w:val="1"/>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bookmarkEnd w:id="5"/>
            <w:r>
              <w:rPr>
                <w:sz w:val="16"/>
                <w:szCs w:val="16"/>
              </w:rPr>
              <w:t>Officiel subventionné</w:t>
            </w:r>
          </w:p>
          <w:p>
            <w:pPr>
              <w:ind w:left="180" w:hanging="180"/>
              <w:rPr>
                <w:color w:val="000000"/>
                <w:sz w:val="16"/>
                <w:szCs w:val="16"/>
              </w:rPr>
            </w:pPr>
            <w:r>
              <w:rPr>
                <w:color w:val="FF0000"/>
                <w:sz w:val="16"/>
                <w:szCs w:val="16"/>
              </w:rPr>
              <w:br/>
            </w:r>
            <w:bookmarkStart w:id="6" w:name="CaseACocher8"/>
            <w:r>
              <w:rPr>
                <w:color w:val="000000"/>
                <w:sz w:val="16"/>
                <w:szCs w:val="16"/>
              </w:rPr>
              <w:fldChar w:fldCharType="begin">
                <w:ffData>
                  <w:name w:val="CaseACocher8"/>
                  <w:enabled/>
                  <w:calcOnExit w:val="0"/>
                  <w:checkBox>
                    <w:sizeAuto/>
                    <w:default w:val="1"/>
                  </w:checkBox>
                </w:ffData>
              </w:fldChar>
            </w:r>
            <w:r>
              <w:rPr>
                <w:color w:val="000000"/>
                <w:sz w:val="16"/>
                <w:szCs w:val="16"/>
              </w:rPr>
              <w:instrText xml:space="preserve"> FORMCHECKBOX </w:instrText>
            </w:r>
            <w:r>
              <w:rPr>
                <w:color w:val="000000"/>
                <w:sz w:val="16"/>
                <w:szCs w:val="16"/>
              </w:rPr>
            </w:r>
            <w:r>
              <w:rPr>
                <w:color w:val="000000"/>
                <w:sz w:val="16"/>
                <w:szCs w:val="16"/>
              </w:rPr>
              <w:fldChar w:fldCharType="separate"/>
            </w:r>
            <w:r>
              <w:rPr>
                <w:color w:val="000000"/>
                <w:sz w:val="16"/>
                <w:szCs w:val="16"/>
              </w:rPr>
              <w:fldChar w:fldCharType="end"/>
            </w:r>
            <w:bookmarkEnd w:id="6"/>
            <w:r>
              <w:rPr>
                <w:color w:val="000000"/>
                <w:sz w:val="16"/>
                <w:szCs w:val="16"/>
              </w:rPr>
              <w:t xml:space="preserve"> </w:t>
            </w:r>
            <w:r>
              <w:rPr>
                <w:sz w:val="16"/>
                <w:szCs w:val="16"/>
              </w:rPr>
              <w:t xml:space="preserve">Niveaux : </w:t>
            </w:r>
            <w:r>
              <w:rPr>
                <w:color w:val="000000"/>
                <w:sz w:val="16"/>
                <w:szCs w:val="16"/>
              </w:rPr>
              <w:t>Secondaire ordinaire de plein exercice</w:t>
            </w:r>
          </w:p>
          <w:p>
            <w:pPr>
              <w:ind w:left="180" w:hanging="180"/>
              <w:rPr>
                <w:color w:val="FF0000"/>
                <w:sz w:val="16"/>
                <w:szCs w:val="16"/>
              </w:rPr>
            </w:pPr>
          </w:p>
          <w:p>
            <w:pPr>
              <w:shd w:val="clear" w:color="auto" w:fill="D9D9D9"/>
              <w:ind w:left="180" w:hanging="180"/>
              <w:rPr>
                <w:sz w:val="16"/>
                <w:szCs w:val="16"/>
              </w:rPr>
            </w:pPr>
            <w:r>
              <w:rPr>
                <w:b/>
                <w:sz w:val="16"/>
                <w:szCs w:val="16"/>
              </w:rPr>
              <w:t>Type de circulaire</w:t>
            </w:r>
          </w:p>
          <w:p>
            <w:pPr>
              <w:tabs>
                <w:tab w:val="left" w:pos="5580"/>
              </w:tabs>
              <w:ind w:left="180" w:hanging="180"/>
              <w:rPr>
                <w:sz w:val="16"/>
                <w:szCs w:val="16"/>
              </w:rPr>
            </w:pPr>
          </w:p>
          <w:bookmarkStart w:id="7" w:name="CaseACocher9"/>
          <w:p>
            <w:pPr>
              <w:tabs>
                <w:tab w:val="left" w:pos="5580"/>
              </w:tabs>
              <w:ind w:left="180" w:hanging="180"/>
              <w:rPr>
                <w:sz w:val="16"/>
                <w:szCs w:val="16"/>
              </w:rPr>
            </w:pPr>
            <w:r>
              <w:rPr>
                <w:sz w:val="16"/>
                <w:szCs w:val="16"/>
              </w:rPr>
              <w:fldChar w:fldCharType="begin">
                <w:ffData>
                  <w:name w:val="CaseACocher9"/>
                  <w:enabled/>
                  <w:calcOnExit w:val="0"/>
                  <w:checkBox>
                    <w:sizeAuto/>
                    <w:default w:val="1"/>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bookmarkEnd w:id="7"/>
            <w:r>
              <w:rPr>
                <w:sz w:val="16"/>
                <w:szCs w:val="16"/>
              </w:rPr>
              <w:t xml:space="preserve"> Circulaire administrative</w:t>
            </w:r>
          </w:p>
          <w:p>
            <w:pPr>
              <w:tabs>
                <w:tab w:val="left" w:pos="5580"/>
              </w:tabs>
              <w:ind w:left="180" w:hanging="180"/>
              <w:rPr>
                <w:sz w:val="16"/>
                <w:szCs w:val="16"/>
              </w:rPr>
            </w:pPr>
          </w:p>
          <w:p>
            <w:pPr>
              <w:tabs>
                <w:tab w:val="left" w:pos="5580"/>
              </w:tabs>
              <w:ind w:left="180" w:hanging="180"/>
              <w:rPr>
                <w:sz w:val="16"/>
                <w:szCs w:val="16"/>
              </w:rPr>
            </w:pPr>
            <w:r>
              <w:rPr>
                <w:sz w:val="16"/>
                <w:szCs w:val="16"/>
              </w:rPr>
              <w:fldChar w:fldCharType="begin">
                <w:ffData>
                  <w:name w:val="CaseACocher10"/>
                  <w:enabled/>
                  <w:calcOnExit w:val="0"/>
                  <w:checkBox>
                    <w:sizeAuto/>
                    <w:default w:val="0"/>
                    <w:checked w:val="0"/>
                  </w:checkBox>
                </w:ffData>
              </w:fldChar>
            </w:r>
            <w:bookmarkStart w:id="8" w:name="CaseACocher10"/>
            <w:r>
              <w:rPr>
                <w:sz w:val="16"/>
                <w:szCs w:val="16"/>
              </w:rPr>
              <w:instrText xml:space="preserve"> FORMCHECKBOX </w:instrText>
            </w:r>
            <w:r>
              <w:rPr>
                <w:sz w:val="16"/>
                <w:szCs w:val="16"/>
              </w:rPr>
            </w:r>
            <w:r>
              <w:rPr>
                <w:sz w:val="16"/>
                <w:szCs w:val="16"/>
              </w:rPr>
              <w:fldChar w:fldCharType="separate"/>
            </w:r>
            <w:r>
              <w:rPr>
                <w:sz w:val="16"/>
                <w:szCs w:val="16"/>
              </w:rPr>
              <w:fldChar w:fldCharType="end"/>
            </w:r>
            <w:bookmarkEnd w:id="8"/>
            <w:r>
              <w:rPr>
                <w:sz w:val="16"/>
                <w:szCs w:val="16"/>
              </w:rPr>
              <w:t xml:space="preserve"> Circulaire informative</w:t>
            </w:r>
            <w:r>
              <w:rPr>
                <w:sz w:val="16"/>
                <w:szCs w:val="16"/>
              </w:rPr>
              <w:tab/>
            </w:r>
          </w:p>
          <w:p>
            <w:pPr>
              <w:tabs>
                <w:tab w:val="left" w:pos="1980"/>
                <w:tab w:val="left" w:pos="4500"/>
                <w:tab w:val="left" w:leader="dot" w:pos="8460"/>
              </w:tabs>
              <w:ind w:left="180" w:hanging="180"/>
              <w:rPr>
                <w:sz w:val="16"/>
                <w:szCs w:val="16"/>
              </w:rPr>
            </w:pPr>
          </w:p>
          <w:p>
            <w:pPr>
              <w:shd w:val="clear" w:color="auto" w:fill="D9D9D9"/>
              <w:ind w:left="180" w:hanging="180"/>
              <w:rPr>
                <w:sz w:val="16"/>
                <w:szCs w:val="16"/>
              </w:rPr>
            </w:pPr>
            <w:r>
              <w:rPr>
                <w:b/>
                <w:sz w:val="16"/>
                <w:szCs w:val="16"/>
              </w:rPr>
              <w:t>Période de validité</w:t>
            </w:r>
          </w:p>
          <w:p>
            <w:pPr>
              <w:tabs>
                <w:tab w:val="left" w:pos="3420"/>
                <w:tab w:val="left" w:pos="6840"/>
              </w:tabs>
              <w:ind w:left="180" w:hanging="180"/>
              <w:rPr>
                <w:sz w:val="16"/>
                <w:szCs w:val="16"/>
              </w:rPr>
            </w:pPr>
          </w:p>
          <w:bookmarkStart w:id="9" w:name="CaseACocher11"/>
          <w:p>
            <w:pPr>
              <w:tabs>
                <w:tab w:val="left" w:pos="3420"/>
                <w:tab w:val="left" w:pos="6840"/>
              </w:tabs>
              <w:ind w:left="180" w:hanging="180"/>
              <w:rPr>
                <w:color w:val="000000"/>
                <w:sz w:val="16"/>
                <w:szCs w:val="16"/>
              </w:rPr>
            </w:pPr>
            <w:r>
              <w:rPr>
                <w:sz w:val="16"/>
                <w:szCs w:val="16"/>
              </w:rPr>
              <w:fldChar w:fldCharType="begin">
                <w:ffData>
                  <w:name w:val="CaseACocher11"/>
                  <w:enabled/>
                  <w:calcOnExit w:val="0"/>
                  <w:checkBox>
                    <w:sizeAuto/>
                    <w:default w:val="1"/>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bookmarkEnd w:id="9"/>
            <w:r>
              <w:rPr>
                <w:sz w:val="16"/>
                <w:szCs w:val="16"/>
              </w:rPr>
              <w:t xml:space="preserve"> A </w:t>
            </w:r>
            <w:r>
              <w:rPr>
                <w:color w:val="000000"/>
                <w:sz w:val="16"/>
                <w:szCs w:val="16"/>
              </w:rPr>
              <w:t>partir de l’année scolaire 2017-2018</w:t>
            </w:r>
          </w:p>
          <w:p>
            <w:pPr>
              <w:tabs>
                <w:tab w:val="left" w:pos="3420"/>
                <w:tab w:val="left" w:pos="6840"/>
              </w:tabs>
              <w:ind w:left="180" w:hanging="180"/>
              <w:rPr>
                <w:color w:val="000000"/>
                <w:sz w:val="16"/>
                <w:szCs w:val="16"/>
              </w:rPr>
            </w:pPr>
            <w:r>
              <w:rPr>
                <w:color w:val="000000"/>
                <w:sz w:val="16"/>
                <w:szCs w:val="16"/>
              </w:rPr>
              <w:t xml:space="preserve">                                       </w:t>
            </w:r>
          </w:p>
          <w:bookmarkStart w:id="10" w:name="CaseACocher12"/>
          <w:p>
            <w:pPr>
              <w:tabs>
                <w:tab w:val="left" w:pos="3420"/>
                <w:tab w:val="left" w:pos="6840"/>
              </w:tabs>
              <w:ind w:left="180" w:hanging="180"/>
              <w:rPr>
                <w:color w:val="000000"/>
                <w:sz w:val="16"/>
                <w:szCs w:val="16"/>
              </w:rPr>
            </w:pPr>
            <w:r>
              <w:rPr>
                <w:color w:val="000000"/>
                <w:sz w:val="16"/>
                <w:szCs w:val="16"/>
              </w:rPr>
              <w:fldChar w:fldCharType="begin">
                <w:ffData>
                  <w:name w:val="CaseACocher12"/>
                  <w:enabled/>
                  <w:calcOnExit w:val="0"/>
                  <w:checkBox>
                    <w:sizeAuto/>
                    <w:default w:val="0"/>
                  </w:checkBox>
                </w:ffData>
              </w:fldChar>
            </w:r>
            <w:r>
              <w:rPr>
                <w:color w:val="000000"/>
                <w:sz w:val="16"/>
                <w:szCs w:val="16"/>
              </w:rPr>
              <w:instrText xml:space="preserve"> FORMCHECKBOX </w:instrText>
            </w:r>
            <w:r>
              <w:rPr>
                <w:color w:val="000000"/>
                <w:sz w:val="16"/>
                <w:szCs w:val="16"/>
              </w:rPr>
            </w:r>
            <w:r>
              <w:rPr>
                <w:color w:val="000000"/>
                <w:sz w:val="16"/>
                <w:szCs w:val="16"/>
              </w:rPr>
              <w:fldChar w:fldCharType="separate"/>
            </w:r>
            <w:r>
              <w:rPr>
                <w:color w:val="000000"/>
                <w:sz w:val="16"/>
                <w:szCs w:val="16"/>
              </w:rPr>
              <w:fldChar w:fldCharType="end"/>
            </w:r>
            <w:bookmarkEnd w:id="10"/>
            <w:r>
              <w:rPr>
                <w:color w:val="000000"/>
                <w:sz w:val="16"/>
                <w:szCs w:val="16"/>
              </w:rPr>
              <w:t xml:space="preserve"> Du </w:t>
            </w:r>
            <w:bookmarkStart w:id="11" w:name="Texte27"/>
            <w:r>
              <w:rPr>
                <w:color w:val="000000"/>
                <w:sz w:val="16"/>
                <w:szCs w:val="16"/>
              </w:rPr>
              <w:fldChar w:fldCharType="begin">
                <w:ffData>
                  <w:name w:val="Texte27"/>
                  <w:enabled/>
                  <w:calcOnExit w:val="0"/>
                  <w:textInput>
                    <w:type w:val="date"/>
                  </w:textInput>
                </w:ffData>
              </w:fldChar>
            </w:r>
            <w:r>
              <w:rPr>
                <w:color w:val="000000"/>
                <w:sz w:val="16"/>
                <w:szCs w:val="16"/>
              </w:rPr>
              <w:instrText xml:space="preserve"> FORMTEXT </w:instrText>
            </w:r>
            <w:r>
              <w:rPr>
                <w:color w:val="000000"/>
                <w:sz w:val="16"/>
                <w:szCs w:val="16"/>
              </w:rPr>
            </w:r>
            <w:r>
              <w:rPr>
                <w:color w:val="000000"/>
                <w:sz w:val="16"/>
                <w:szCs w:val="16"/>
              </w:rPr>
              <w:fldChar w:fldCharType="separate"/>
            </w:r>
            <w:r>
              <w:rPr>
                <w:noProof/>
                <w:color w:val="000000"/>
                <w:sz w:val="16"/>
                <w:szCs w:val="16"/>
              </w:rPr>
              <w:t> </w:t>
            </w:r>
            <w:r>
              <w:rPr>
                <w:noProof/>
                <w:color w:val="000000"/>
                <w:sz w:val="16"/>
                <w:szCs w:val="16"/>
              </w:rPr>
              <w:t> </w:t>
            </w:r>
            <w:r>
              <w:rPr>
                <w:noProof/>
                <w:color w:val="000000"/>
                <w:sz w:val="16"/>
                <w:szCs w:val="16"/>
              </w:rPr>
              <w:t> </w:t>
            </w:r>
            <w:r>
              <w:rPr>
                <w:noProof/>
                <w:color w:val="000000"/>
                <w:sz w:val="16"/>
                <w:szCs w:val="16"/>
              </w:rPr>
              <w:t> </w:t>
            </w:r>
            <w:r>
              <w:rPr>
                <w:noProof/>
                <w:color w:val="000000"/>
                <w:sz w:val="16"/>
                <w:szCs w:val="16"/>
              </w:rPr>
              <w:t> </w:t>
            </w:r>
            <w:r>
              <w:rPr>
                <w:color w:val="000000"/>
                <w:sz w:val="16"/>
                <w:szCs w:val="16"/>
              </w:rPr>
              <w:fldChar w:fldCharType="end"/>
            </w:r>
            <w:bookmarkEnd w:id="11"/>
            <w:r>
              <w:rPr>
                <w:color w:val="000000"/>
                <w:sz w:val="16"/>
                <w:szCs w:val="16"/>
              </w:rPr>
              <w:t xml:space="preserve"> au </w:t>
            </w:r>
            <w:bookmarkStart w:id="12" w:name="Texte28"/>
            <w:r>
              <w:rPr>
                <w:color w:val="000000"/>
                <w:sz w:val="16"/>
                <w:szCs w:val="16"/>
              </w:rPr>
              <w:fldChar w:fldCharType="begin">
                <w:ffData>
                  <w:name w:val="Texte28"/>
                  <w:enabled/>
                  <w:calcOnExit w:val="0"/>
                  <w:textInput>
                    <w:type w:val="date"/>
                  </w:textInput>
                </w:ffData>
              </w:fldChar>
            </w:r>
            <w:r>
              <w:rPr>
                <w:color w:val="000000"/>
                <w:sz w:val="16"/>
                <w:szCs w:val="16"/>
              </w:rPr>
              <w:instrText xml:space="preserve"> FORMTEXT </w:instrText>
            </w:r>
            <w:r>
              <w:rPr>
                <w:color w:val="000000"/>
                <w:sz w:val="16"/>
                <w:szCs w:val="16"/>
              </w:rPr>
            </w:r>
            <w:r>
              <w:rPr>
                <w:color w:val="000000"/>
                <w:sz w:val="16"/>
                <w:szCs w:val="16"/>
              </w:rPr>
              <w:fldChar w:fldCharType="separate"/>
            </w:r>
            <w:r>
              <w:rPr>
                <w:noProof/>
                <w:color w:val="000000"/>
                <w:sz w:val="16"/>
                <w:szCs w:val="16"/>
              </w:rPr>
              <w:t> </w:t>
            </w:r>
            <w:r>
              <w:rPr>
                <w:noProof/>
                <w:color w:val="000000"/>
                <w:sz w:val="16"/>
                <w:szCs w:val="16"/>
              </w:rPr>
              <w:t> </w:t>
            </w:r>
            <w:r>
              <w:rPr>
                <w:noProof/>
                <w:color w:val="000000"/>
                <w:sz w:val="16"/>
                <w:szCs w:val="16"/>
              </w:rPr>
              <w:t> </w:t>
            </w:r>
            <w:r>
              <w:rPr>
                <w:noProof/>
                <w:color w:val="000000"/>
                <w:sz w:val="16"/>
                <w:szCs w:val="16"/>
              </w:rPr>
              <w:t> </w:t>
            </w:r>
            <w:r>
              <w:rPr>
                <w:noProof/>
                <w:color w:val="000000"/>
                <w:sz w:val="16"/>
                <w:szCs w:val="16"/>
              </w:rPr>
              <w:t> </w:t>
            </w:r>
            <w:r>
              <w:rPr>
                <w:color w:val="000000"/>
                <w:sz w:val="16"/>
                <w:szCs w:val="16"/>
              </w:rPr>
              <w:fldChar w:fldCharType="end"/>
            </w:r>
            <w:bookmarkEnd w:id="12"/>
          </w:p>
          <w:p>
            <w:pPr>
              <w:ind w:left="180" w:hanging="180"/>
              <w:rPr>
                <w:sz w:val="16"/>
                <w:szCs w:val="16"/>
              </w:rPr>
            </w:pPr>
          </w:p>
          <w:p>
            <w:pPr>
              <w:shd w:val="clear" w:color="auto" w:fill="D9D9D9"/>
              <w:ind w:left="180" w:hanging="180"/>
              <w:rPr>
                <w:sz w:val="16"/>
                <w:szCs w:val="16"/>
              </w:rPr>
            </w:pPr>
            <w:r>
              <w:rPr>
                <w:b/>
                <w:sz w:val="16"/>
                <w:szCs w:val="16"/>
              </w:rPr>
              <w:t>Documents à renvoyer</w:t>
            </w:r>
          </w:p>
          <w:p>
            <w:pPr>
              <w:tabs>
                <w:tab w:val="left" w:pos="3420"/>
                <w:tab w:val="left" w:pos="6840"/>
              </w:tabs>
              <w:ind w:left="180" w:hanging="180"/>
              <w:rPr>
                <w:sz w:val="16"/>
                <w:szCs w:val="16"/>
              </w:rPr>
            </w:pPr>
          </w:p>
          <w:p>
            <w:pPr>
              <w:tabs>
                <w:tab w:val="left" w:pos="3420"/>
                <w:tab w:val="left" w:pos="6840"/>
              </w:tabs>
              <w:ind w:left="180" w:hanging="180"/>
              <w:rPr>
                <w:sz w:val="16"/>
                <w:szCs w:val="16"/>
              </w:rPr>
            </w:pPr>
            <w:r>
              <w:rPr>
                <w:sz w:val="16"/>
                <w:szCs w:val="16"/>
              </w:rPr>
              <w:fldChar w:fldCharType="begin">
                <w:ffData>
                  <w:name w:val="CaseACocher13"/>
                  <w:enabled/>
                  <w:calcOnExit w:val="0"/>
                  <w:checkBox>
                    <w:sizeAuto/>
                    <w:default w:val="0"/>
                    <w:checked w:val="0"/>
                  </w:checkBox>
                </w:ffData>
              </w:fldChar>
            </w:r>
            <w:bookmarkStart w:id="13" w:name="CaseACocher13"/>
            <w:r>
              <w:rPr>
                <w:sz w:val="16"/>
                <w:szCs w:val="16"/>
              </w:rPr>
              <w:instrText xml:space="preserve"> FORMCHECKBOX </w:instrText>
            </w:r>
            <w:r>
              <w:rPr>
                <w:sz w:val="16"/>
                <w:szCs w:val="16"/>
              </w:rPr>
            </w:r>
            <w:r>
              <w:rPr>
                <w:sz w:val="16"/>
                <w:szCs w:val="16"/>
              </w:rPr>
              <w:fldChar w:fldCharType="separate"/>
            </w:r>
            <w:r>
              <w:rPr>
                <w:sz w:val="16"/>
                <w:szCs w:val="16"/>
              </w:rPr>
              <w:fldChar w:fldCharType="end"/>
            </w:r>
            <w:bookmarkEnd w:id="13"/>
            <w:r>
              <w:rPr>
                <w:sz w:val="16"/>
                <w:szCs w:val="16"/>
              </w:rPr>
              <w:t xml:space="preserve"> Oui </w:t>
            </w:r>
          </w:p>
          <w:p>
            <w:pPr>
              <w:tabs>
                <w:tab w:val="left" w:pos="3420"/>
                <w:tab w:val="left" w:pos="6840"/>
              </w:tabs>
              <w:ind w:left="180" w:hanging="180"/>
              <w:rPr>
                <w:sz w:val="16"/>
                <w:szCs w:val="16"/>
              </w:rPr>
            </w:pPr>
          </w:p>
          <w:p>
            <w:pPr>
              <w:ind w:left="96"/>
              <w:rPr>
                <w:sz w:val="16"/>
                <w:szCs w:val="16"/>
              </w:rPr>
            </w:pPr>
            <w:r>
              <w:rPr>
                <w:rFonts w:ascii="Symbol" w:hAnsi="Symbol"/>
                <w:sz w:val="16"/>
                <w:szCs w:val="16"/>
              </w:rPr>
              <w:fldChar w:fldCharType="begin">
                <w:ffData>
                  <w:name w:val="CaseACocher14"/>
                  <w:enabled/>
                  <w:calcOnExit w:val="0"/>
                  <w:checkBox>
                    <w:sizeAuto/>
                    <w:default w:val="0"/>
                    <w:checked w:val="0"/>
                  </w:checkBox>
                </w:ffData>
              </w:fldChar>
            </w:r>
            <w:bookmarkStart w:id="14" w:name="CaseACocher14"/>
            <w:r>
              <w:rPr>
                <w:rFonts w:ascii="Symbol" w:hAnsi="Symbol"/>
                <w:sz w:val="16"/>
                <w:szCs w:val="16"/>
              </w:rPr>
              <w:instrText xml:space="preserve"> FORMCHECKBOX </w:instrText>
            </w:r>
            <w:r>
              <w:rPr>
                <w:rFonts w:ascii="Symbol" w:hAnsi="Symbol"/>
                <w:sz w:val="16"/>
                <w:szCs w:val="16"/>
              </w:rPr>
            </w:r>
            <w:r>
              <w:rPr>
                <w:rFonts w:ascii="Symbol" w:hAnsi="Symbol"/>
                <w:sz w:val="16"/>
                <w:szCs w:val="16"/>
              </w:rPr>
              <w:fldChar w:fldCharType="separate"/>
            </w:r>
            <w:r>
              <w:rPr>
                <w:rFonts w:ascii="Symbol" w:hAnsi="Symbol"/>
                <w:sz w:val="16"/>
                <w:szCs w:val="16"/>
              </w:rPr>
              <w:fldChar w:fldCharType="end"/>
            </w:r>
            <w:bookmarkEnd w:id="14"/>
            <w:r>
              <w:rPr>
                <w:rFonts w:ascii="Symbol" w:hAnsi="Symbol"/>
                <w:sz w:val="16"/>
                <w:szCs w:val="16"/>
              </w:rPr>
              <w:t></w:t>
            </w:r>
            <w:r>
              <w:rPr>
                <w:rFonts w:ascii="Symbol" w:hAnsi="Symbol"/>
                <w:sz w:val="16"/>
                <w:szCs w:val="16"/>
              </w:rPr>
              <w:t></w:t>
            </w:r>
            <w:r>
              <w:rPr>
                <w:rFonts w:ascii="Symbol" w:hAnsi="Symbol"/>
                <w:sz w:val="16"/>
                <w:szCs w:val="16"/>
              </w:rPr>
              <w:t></w:t>
            </w:r>
            <w:r>
              <w:rPr>
                <w:rFonts w:ascii="Symbol" w:hAnsi="Symbol"/>
                <w:sz w:val="16"/>
                <w:szCs w:val="16"/>
              </w:rPr>
              <w:t></w:t>
            </w:r>
            <w:r>
              <w:rPr>
                <w:sz w:val="16"/>
                <w:szCs w:val="16"/>
              </w:rPr>
              <w:t xml:space="preserve">Date limite : </w:t>
            </w:r>
            <w:bookmarkStart w:id="15" w:name="Texte26"/>
            <w:r>
              <w:rPr>
                <w:sz w:val="16"/>
                <w:szCs w:val="16"/>
              </w:rPr>
              <w:fldChar w:fldCharType="begin">
                <w:ffData>
                  <w:name w:val="Texte26"/>
                  <w:enabled/>
                  <w:calcOnExit w:val="0"/>
                  <w:textInput>
                    <w:type w:val="date"/>
                  </w:textInput>
                </w:ffData>
              </w:fldChar>
            </w:r>
            <w:r>
              <w:rPr>
                <w:sz w:val="16"/>
                <w:szCs w:val="16"/>
              </w:rPr>
              <w:instrText xml:space="preserve"> FORMTEXT </w:instrText>
            </w:r>
            <w:r>
              <w:rPr>
                <w:sz w:val="16"/>
                <w:szCs w:val="16"/>
              </w:rPr>
            </w:r>
            <w:r>
              <w:rPr>
                <w:sz w:val="16"/>
                <w:szCs w:val="16"/>
              </w:rPr>
              <w:fldChar w:fldCharType="separate"/>
            </w:r>
            <w:r>
              <w:rPr>
                <w:noProof/>
                <w:sz w:val="16"/>
                <w:szCs w:val="16"/>
              </w:rPr>
              <w:t> </w:t>
            </w:r>
            <w:r>
              <w:rPr>
                <w:noProof/>
                <w:sz w:val="16"/>
                <w:szCs w:val="16"/>
              </w:rPr>
              <w:t> </w:t>
            </w:r>
            <w:r>
              <w:rPr>
                <w:noProof/>
                <w:sz w:val="16"/>
                <w:szCs w:val="16"/>
              </w:rPr>
              <w:t> </w:t>
            </w:r>
            <w:r>
              <w:rPr>
                <w:noProof/>
                <w:sz w:val="16"/>
                <w:szCs w:val="16"/>
              </w:rPr>
              <w:t> </w:t>
            </w:r>
            <w:r>
              <w:rPr>
                <w:noProof/>
                <w:sz w:val="16"/>
                <w:szCs w:val="16"/>
              </w:rPr>
              <w:t> </w:t>
            </w:r>
            <w:r>
              <w:rPr>
                <w:sz w:val="16"/>
                <w:szCs w:val="16"/>
              </w:rPr>
              <w:fldChar w:fldCharType="end"/>
            </w:r>
            <w:bookmarkEnd w:id="15"/>
            <w:r>
              <w:rPr>
                <w:sz w:val="16"/>
                <w:szCs w:val="16"/>
              </w:rPr>
              <w:t xml:space="preserve">  </w:t>
            </w:r>
          </w:p>
          <w:p>
            <w:pPr>
              <w:ind w:left="96"/>
              <w:rPr>
                <w:sz w:val="16"/>
                <w:szCs w:val="16"/>
              </w:rPr>
            </w:pPr>
          </w:p>
          <w:p>
            <w:pPr>
              <w:ind w:left="96"/>
              <w:rPr>
                <w:sz w:val="16"/>
                <w:szCs w:val="16"/>
              </w:rPr>
            </w:pPr>
            <w:r>
              <w:rPr>
                <w:rFonts w:ascii="Symbol" w:hAnsi="Symbol"/>
                <w:sz w:val="16"/>
                <w:szCs w:val="16"/>
              </w:rPr>
              <w:fldChar w:fldCharType="begin">
                <w:ffData>
                  <w:name w:val="CaseACocher15"/>
                  <w:enabled/>
                  <w:calcOnExit w:val="0"/>
                  <w:checkBox>
                    <w:sizeAuto/>
                    <w:default w:val="0"/>
                    <w:checked w:val="0"/>
                  </w:checkBox>
                </w:ffData>
              </w:fldChar>
            </w:r>
            <w:bookmarkStart w:id="16" w:name="CaseACocher15"/>
            <w:r>
              <w:rPr>
                <w:rFonts w:ascii="Symbol" w:hAnsi="Symbol"/>
                <w:sz w:val="16"/>
                <w:szCs w:val="16"/>
              </w:rPr>
              <w:instrText xml:space="preserve"> FORMCHECKBOX </w:instrText>
            </w:r>
            <w:r>
              <w:rPr>
                <w:rFonts w:ascii="Symbol" w:hAnsi="Symbol"/>
                <w:sz w:val="16"/>
                <w:szCs w:val="16"/>
              </w:rPr>
            </w:r>
            <w:r>
              <w:rPr>
                <w:rFonts w:ascii="Symbol" w:hAnsi="Symbol"/>
                <w:sz w:val="16"/>
                <w:szCs w:val="16"/>
              </w:rPr>
              <w:fldChar w:fldCharType="separate"/>
            </w:r>
            <w:r>
              <w:rPr>
                <w:rFonts w:ascii="Symbol" w:hAnsi="Symbol"/>
                <w:sz w:val="16"/>
                <w:szCs w:val="16"/>
              </w:rPr>
              <w:fldChar w:fldCharType="end"/>
            </w:r>
            <w:bookmarkEnd w:id="16"/>
            <w:r>
              <w:rPr>
                <w:rFonts w:ascii="Symbol" w:hAnsi="Symbol"/>
                <w:sz w:val="16"/>
                <w:szCs w:val="16"/>
              </w:rPr>
              <w:t></w:t>
            </w:r>
            <w:r>
              <w:rPr>
                <w:rFonts w:ascii="Symbol" w:hAnsi="Symbol"/>
                <w:sz w:val="16"/>
                <w:szCs w:val="16"/>
              </w:rPr>
              <w:t></w:t>
            </w:r>
            <w:r>
              <w:rPr>
                <w:rFonts w:ascii="Symbol" w:hAnsi="Symbol"/>
                <w:sz w:val="16"/>
                <w:szCs w:val="16"/>
              </w:rPr>
              <w:t></w:t>
            </w:r>
            <w:r>
              <w:rPr>
                <w:rFonts w:ascii="Symbol" w:hAnsi="Symbol"/>
                <w:sz w:val="16"/>
                <w:szCs w:val="16"/>
              </w:rPr>
              <w:t></w:t>
            </w:r>
            <w:r>
              <w:rPr>
                <w:sz w:val="16"/>
                <w:szCs w:val="16"/>
              </w:rPr>
              <w:t xml:space="preserve">Voir dates figurant dans la circulaire </w:t>
            </w:r>
          </w:p>
          <w:p>
            <w:pPr>
              <w:tabs>
                <w:tab w:val="left" w:pos="3420"/>
                <w:tab w:val="left" w:pos="6840"/>
              </w:tabs>
              <w:rPr>
                <w:sz w:val="16"/>
                <w:szCs w:val="16"/>
              </w:rPr>
            </w:pPr>
          </w:p>
          <w:p>
            <w:pPr>
              <w:shd w:val="clear" w:color="auto" w:fill="D9D9D9"/>
              <w:ind w:left="180" w:hanging="180"/>
              <w:rPr>
                <w:sz w:val="16"/>
                <w:szCs w:val="16"/>
              </w:rPr>
            </w:pPr>
            <w:r>
              <w:rPr>
                <w:b/>
                <w:sz w:val="16"/>
                <w:szCs w:val="16"/>
              </w:rPr>
              <w:t>Mot-clé :</w:t>
            </w:r>
          </w:p>
          <w:tbl>
            <w:tblPr>
              <w:tblW w:w="6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19"/>
              <w:gridCol w:w="373"/>
            </w:tblGrid>
            <w:tr>
              <w:trPr>
                <w:trHeight w:val="960"/>
              </w:trPr>
              <w:tc>
                <w:tcPr>
                  <w:tcW w:w="6619" w:type="dxa"/>
                  <w:tcBorders>
                    <w:top w:val="nil"/>
                    <w:left w:val="nil"/>
                    <w:bottom w:val="nil"/>
                    <w:right w:val="nil"/>
                  </w:tcBorders>
                </w:tcPr>
                <w:p>
                  <w:pPr>
                    <w:autoSpaceDE w:val="0"/>
                    <w:autoSpaceDN w:val="0"/>
                    <w:adjustRightInd w:val="0"/>
                    <w:ind w:left="180" w:hanging="180"/>
                    <w:rPr>
                      <w:rFonts w:ascii="Georgia" w:hAnsi="Georgia"/>
                      <w:sz w:val="16"/>
                      <w:szCs w:val="16"/>
                    </w:rPr>
                  </w:pPr>
                  <w:r>
                    <w:rPr>
                      <w:rFonts w:ascii="Georgia" w:hAnsi="Georgia"/>
                      <w:sz w:val="16"/>
                      <w:szCs w:val="16"/>
                    </w:rPr>
                    <w:t xml:space="preserve">Recours –  Recours externes – </w:t>
                  </w:r>
                </w:p>
                <w:p>
                  <w:pPr>
                    <w:autoSpaceDE w:val="0"/>
                    <w:autoSpaceDN w:val="0"/>
                    <w:adjustRightInd w:val="0"/>
                    <w:ind w:left="180" w:hanging="180"/>
                    <w:rPr>
                      <w:rFonts w:ascii="Georgia" w:hAnsi="Georgia"/>
                      <w:sz w:val="16"/>
                      <w:szCs w:val="16"/>
                    </w:rPr>
                  </w:pPr>
                  <w:r>
                    <w:rPr>
                      <w:rFonts w:ascii="Georgia" w:hAnsi="Georgia"/>
                      <w:sz w:val="16"/>
                      <w:szCs w:val="16"/>
                    </w:rPr>
                    <w:t>Conseil de recours – Conseil de classe</w:t>
                  </w:r>
                </w:p>
                <w:p>
                  <w:pPr>
                    <w:autoSpaceDE w:val="0"/>
                    <w:autoSpaceDN w:val="0"/>
                    <w:adjustRightInd w:val="0"/>
                    <w:ind w:left="180" w:hanging="180"/>
                    <w:rPr>
                      <w:rFonts w:ascii="Georgia" w:hAnsi="Georgia"/>
                      <w:sz w:val="16"/>
                      <w:szCs w:val="16"/>
                    </w:rPr>
                  </w:pPr>
                  <w:r>
                    <w:rPr>
                      <w:rFonts w:ascii="Georgia" w:hAnsi="Georgia"/>
                      <w:sz w:val="16"/>
                      <w:szCs w:val="16"/>
                    </w:rPr>
                    <w:t>Décision des Conseils de classe –</w:t>
                  </w:r>
                </w:p>
                <w:p>
                  <w:pPr>
                    <w:autoSpaceDE w:val="0"/>
                    <w:autoSpaceDN w:val="0"/>
                    <w:adjustRightInd w:val="0"/>
                    <w:ind w:left="180" w:hanging="180"/>
                    <w:rPr>
                      <w:rFonts w:ascii="Georgia" w:hAnsi="Georgia"/>
                      <w:sz w:val="16"/>
                      <w:szCs w:val="16"/>
                    </w:rPr>
                  </w:pPr>
                  <w:r>
                    <w:rPr>
                      <w:rFonts w:ascii="Georgia" w:hAnsi="Georgia"/>
                      <w:sz w:val="16"/>
                      <w:szCs w:val="16"/>
                    </w:rPr>
                    <w:t>Décision des Jurys de qualification –</w:t>
                  </w:r>
                </w:p>
                <w:p>
                  <w:pPr>
                    <w:autoSpaceDE w:val="0"/>
                    <w:autoSpaceDN w:val="0"/>
                    <w:adjustRightInd w:val="0"/>
                    <w:ind w:left="180" w:hanging="180"/>
                    <w:rPr>
                      <w:rFonts w:ascii="Georgia" w:hAnsi="Georgia"/>
                      <w:sz w:val="16"/>
                      <w:szCs w:val="16"/>
                    </w:rPr>
                  </w:pPr>
                  <w:r>
                    <w:rPr>
                      <w:rFonts w:ascii="Georgia" w:hAnsi="Georgia"/>
                      <w:sz w:val="16"/>
                      <w:szCs w:val="16"/>
                    </w:rPr>
                    <w:t xml:space="preserve">Conciliation interne – Recours internes – </w:t>
                  </w:r>
                </w:p>
                <w:p>
                  <w:pPr>
                    <w:autoSpaceDE w:val="0"/>
                    <w:autoSpaceDN w:val="0"/>
                    <w:adjustRightInd w:val="0"/>
                    <w:ind w:left="180" w:hanging="180"/>
                    <w:rPr>
                      <w:rFonts w:ascii="Verdana" w:hAnsi="Verdana"/>
                      <w:sz w:val="16"/>
                      <w:szCs w:val="16"/>
                    </w:rPr>
                  </w:pPr>
                  <w:r>
                    <w:rPr>
                      <w:rFonts w:ascii="Georgia" w:hAnsi="Georgia"/>
                      <w:sz w:val="16"/>
                      <w:szCs w:val="16"/>
                    </w:rPr>
                    <w:t>Secondaire ordinaire</w:t>
                  </w:r>
                </w:p>
              </w:tc>
              <w:tc>
                <w:tcPr>
                  <w:tcW w:w="373" w:type="dxa"/>
                  <w:tcBorders>
                    <w:top w:val="nil"/>
                    <w:left w:val="nil"/>
                    <w:bottom w:val="nil"/>
                    <w:right w:val="nil"/>
                  </w:tcBorders>
                </w:tcPr>
                <w:p>
                  <w:pPr>
                    <w:tabs>
                      <w:tab w:val="left" w:pos="3420"/>
                      <w:tab w:val="left" w:pos="6840"/>
                    </w:tabs>
                    <w:ind w:left="180" w:hanging="180"/>
                    <w:rPr>
                      <w:rFonts w:ascii="Verdana" w:hAnsi="Verdana"/>
                      <w:sz w:val="16"/>
                      <w:szCs w:val="16"/>
                    </w:rPr>
                  </w:pPr>
                </w:p>
              </w:tc>
            </w:tr>
          </w:tbl>
          <w:p>
            <w:pPr>
              <w:shd w:val="clear" w:color="auto" w:fill="D9D9D9"/>
              <w:ind w:left="284"/>
              <w:rPr>
                <w:b/>
                <w:sz w:val="16"/>
                <w:szCs w:val="16"/>
              </w:rPr>
            </w:pPr>
          </w:p>
        </w:tc>
        <w:tc>
          <w:tcPr>
            <w:tcW w:w="5492" w:type="dxa"/>
            <w:vMerge w:val="restart"/>
            <w:tcBorders>
              <w:right w:val="single" w:sz="4" w:space="0" w:color="auto"/>
            </w:tcBorders>
          </w:tcPr>
          <w:p>
            <w:pPr>
              <w:shd w:val="clear" w:color="auto" w:fill="D9D9D9"/>
              <w:ind w:left="284"/>
              <w:rPr>
                <w:b/>
                <w:sz w:val="16"/>
                <w:szCs w:val="16"/>
              </w:rPr>
            </w:pPr>
          </w:p>
          <w:p>
            <w:pPr>
              <w:shd w:val="clear" w:color="auto" w:fill="D9D9D9"/>
              <w:ind w:left="284"/>
              <w:rPr>
                <w:sz w:val="16"/>
                <w:szCs w:val="16"/>
              </w:rPr>
            </w:pPr>
            <w:r>
              <w:rPr>
                <w:b/>
                <w:sz w:val="16"/>
                <w:szCs w:val="16"/>
              </w:rPr>
              <w:t>Destinataires de la circulaire</w:t>
            </w:r>
          </w:p>
          <w:p>
            <w:pPr>
              <w:autoSpaceDE w:val="0"/>
              <w:autoSpaceDN w:val="0"/>
              <w:adjustRightInd w:val="0"/>
              <w:ind w:left="252"/>
              <w:rPr>
                <w:rFonts w:ascii="Georgia" w:hAnsi="Georgia"/>
                <w:color w:val="FF0000"/>
                <w:sz w:val="16"/>
                <w:szCs w:val="16"/>
              </w:rPr>
            </w:pPr>
          </w:p>
          <w:p>
            <w:pPr>
              <w:autoSpaceDE w:val="0"/>
              <w:autoSpaceDN w:val="0"/>
              <w:adjustRightInd w:val="0"/>
              <w:ind w:left="252"/>
              <w:rPr>
                <w:rFonts w:ascii="Georgia" w:hAnsi="Georgia"/>
                <w:color w:val="FF0000"/>
                <w:sz w:val="18"/>
                <w:szCs w:val="18"/>
              </w:rPr>
            </w:pPr>
          </w:p>
          <w:p>
            <w:pPr>
              <w:autoSpaceDE w:val="0"/>
              <w:autoSpaceDN w:val="0"/>
              <w:adjustRightInd w:val="0"/>
              <w:ind w:left="792"/>
              <w:jc w:val="both"/>
              <w:rPr>
                <w:rFonts w:ascii="Georgia" w:hAnsi="Georgia"/>
                <w:color w:val="000000"/>
                <w:sz w:val="18"/>
                <w:szCs w:val="18"/>
              </w:rPr>
            </w:pPr>
            <w:r>
              <w:rPr>
                <w:rFonts w:ascii="Georgia" w:hAnsi="Georgia"/>
                <w:color w:val="000000"/>
                <w:sz w:val="18"/>
                <w:szCs w:val="18"/>
              </w:rPr>
              <w:t>- A Madame la Ministre</w:t>
            </w:r>
          </w:p>
          <w:p>
            <w:pPr>
              <w:pBdr>
                <w:right w:val="single" w:sz="4" w:space="4" w:color="auto"/>
              </w:pBdr>
              <w:ind w:left="792"/>
              <w:jc w:val="both"/>
              <w:rPr>
                <w:rFonts w:ascii="Georgia" w:hAnsi="Georgia"/>
                <w:color w:val="000000"/>
                <w:sz w:val="18"/>
                <w:szCs w:val="18"/>
              </w:rPr>
            </w:pPr>
            <w:r>
              <w:rPr>
                <w:rFonts w:ascii="Georgia" w:hAnsi="Georgia"/>
                <w:color w:val="000000"/>
                <w:sz w:val="18"/>
                <w:szCs w:val="18"/>
              </w:rPr>
              <w:t>- Aux Pouvoirs organisateurs des établissements d’enseignement secondaire ordinaire subventionné par la Fédération Wallonie-Bruxelles ;</w:t>
            </w:r>
          </w:p>
          <w:p>
            <w:pPr>
              <w:pBdr>
                <w:right w:val="single" w:sz="4" w:space="4" w:color="auto"/>
              </w:pBdr>
              <w:ind w:left="792"/>
              <w:jc w:val="both"/>
              <w:rPr>
                <w:rFonts w:ascii="Georgia" w:hAnsi="Georgia"/>
                <w:color w:val="FF0000"/>
                <w:sz w:val="18"/>
                <w:szCs w:val="18"/>
              </w:rPr>
            </w:pPr>
            <w:r>
              <w:rPr>
                <w:rFonts w:ascii="Georgia" w:hAnsi="Georgia"/>
                <w:color w:val="000000"/>
                <w:sz w:val="18"/>
                <w:szCs w:val="18"/>
              </w:rPr>
              <w:t>- Aux Directions des établissements d’enseignement secondaire ordinaire organisé ou subventionné par la Fédération Wallonie-Bruxelles.</w:t>
            </w:r>
          </w:p>
          <w:p>
            <w:pPr>
              <w:pBdr>
                <w:right w:val="single" w:sz="4" w:space="4" w:color="auto"/>
              </w:pBdr>
              <w:ind w:left="792"/>
              <w:rPr>
                <w:rFonts w:ascii="Georgia" w:hAnsi="Georgia"/>
                <w:color w:val="FF0000"/>
                <w:sz w:val="18"/>
                <w:szCs w:val="18"/>
              </w:rPr>
            </w:pPr>
          </w:p>
          <w:p>
            <w:pPr>
              <w:pBdr>
                <w:right w:val="single" w:sz="4" w:space="4" w:color="auto"/>
              </w:pBdr>
              <w:ind w:left="792"/>
              <w:rPr>
                <w:rFonts w:ascii="Georgia" w:hAnsi="Georgia"/>
                <w:color w:val="FF0000"/>
                <w:sz w:val="18"/>
                <w:szCs w:val="18"/>
              </w:rPr>
            </w:pPr>
          </w:p>
          <w:p>
            <w:pPr>
              <w:pBdr>
                <w:right w:val="single" w:sz="4" w:space="4" w:color="auto"/>
              </w:pBdr>
              <w:ind w:left="792"/>
              <w:rPr>
                <w:rFonts w:ascii="Georgia" w:hAnsi="Georgia"/>
                <w:color w:val="FF0000"/>
                <w:sz w:val="18"/>
                <w:szCs w:val="18"/>
                <w:u w:val="single"/>
              </w:rPr>
            </w:pPr>
          </w:p>
          <w:p>
            <w:pPr>
              <w:pBdr>
                <w:right w:val="single" w:sz="4" w:space="4" w:color="auto"/>
              </w:pBdr>
              <w:ind w:left="792"/>
              <w:rPr>
                <w:rFonts w:ascii="Georgia" w:hAnsi="Georgia"/>
                <w:color w:val="000000"/>
                <w:sz w:val="18"/>
                <w:szCs w:val="18"/>
                <w:u w:val="single"/>
              </w:rPr>
            </w:pPr>
            <w:r>
              <w:rPr>
                <w:rFonts w:ascii="Georgia" w:hAnsi="Georgia"/>
                <w:color w:val="000000"/>
                <w:sz w:val="18"/>
                <w:szCs w:val="18"/>
                <w:u w:val="single"/>
              </w:rPr>
              <w:t>Pour information :</w:t>
            </w:r>
          </w:p>
          <w:p>
            <w:pPr>
              <w:pBdr>
                <w:right w:val="single" w:sz="4" w:space="4" w:color="auto"/>
              </w:pBdr>
              <w:autoSpaceDE w:val="0"/>
              <w:autoSpaceDN w:val="0"/>
              <w:adjustRightInd w:val="0"/>
              <w:ind w:left="792"/>
              <w:jc w:val="both"/>
              <w:rPr>
                <w:rFonts w:ascii="Georgia" w:hAnsi="Georgia"/>
                <w:color w:val="000000"/>
                <w:sz w:val="18"/>
                <w:szCs w:val="18"/>
              </w:rPr>
            </w:pPr>
            <w:r>
              <w:rPr>
                <w:rFonts w:ascii="Georgia" w:hAnsi="Georgia"/>
                <w:color w:val="000000"/>
                <w:sz w:val="18"/>
                <w:szCs w:val="18"/>
              </w:rPr>
              <w:t>- Aux membres du Service de la Vérification ;</w:t>
            </w:r>
          </w:p>
          <w:p>
            <w:pPr>
              <w:pBdr>
                <w:right w:val="single" w:sz="4" w:space="4" w:color="auto"/>
              </w:pBdr>
              <w:autoSpaceDE w:val="0"/>
              <w:autoSpaceDN w:val="0"/>
              <w:adjustRightInd w:val="0"/>
              <w:ind w:left="792"/>
              <w:jc w:val="both"/>
              <w:rPr>
                <w:rFonts w:ascii="Georgia" w:hAnsi="Georgia"/>
                <w:color w:val="000000"/>
                <w:sz w:val="18"/>
                <w:szCs w:val="18"/>
              </w:rPr>
            </w:pPr>
            <w:r>
              <w:rPr>
                <w:rFonts w:ascii="Georgia" w:hAnsi="Georgia"/>
                <w:color w:val="000000"/>
                <w:sz w:val="18"/>
                <w:szCs w:val="18"/>
              </w:rPr>
              <w:t>- Aux membres du Service général de l’Inspection ;</w:t>
            </w:r>
          </w:p>
          <w:p>
            <w:pPr>
              <w:pBdr>
                <w:right w:val="single" w:sz="4" w:space="4" w:color="auto"/>
              </w:pBdr>
              <w:autoSpaceDE w:val="0"/>
              <w:autoSpaceDN w:val="0"/>
              <w:adjustRightInd w:val="0"/>
              <w:ind w:left="792"/>
              <w:jc w:val="both"/>
              <w:rPr>
                <w:rFonts w:ascii="Georgia" w:hAnsi="Georgia"/>
                <w:color w:val="000000"/>
                <w:sz w:val="18"/>
                <w:szCs w:val="18"/>
              </w:rPr>
            </w:pPr>
            <w:r>
              <w:rPr>
                <w:rFonts w:ascii="Georgia" w:hAnsi="Georgia"/>
                <w:color w:val="000000"/>
                <w:sz w:val="18"/>
                <w:szCs w:val="18"/>
              </w:rPr>
              <w:t>- Aux Associations de parents.</w:t>
            </w:r>
          </w:p>
          <w:p>
            <w:pPr>
              <w:ind w:left="792"/>
              <w:rPr>
                <w:color w:val="FF0000"/>
                <w:sz w:val="16"/>
                <w:szCs w:val="16"/>
              </w:rPr>
            </w:pPr>
          </w:p>
          <w:p>
            <w:pPr>
              <w:ind w:left="792"/>
              <w:rPr>
                <w:color w:val="FF0000"/>
                <w:sz w:val="16"/>
                <w:szCs w:val="16"/>
              </w:rPr>
            </w:pPr>
          </w:p>
          <w:p>
            <w:pPr>
              <w:ind w:left="792"/>
              <w:rPr>
                <w:color w:val="FF0000"/>
                <w:sz w:val="16"/>
                <w:szCs w:val="16"/>
              </w:rPr>
            </w:pPr>
          </w:p>
          <w:p>
            <w:pPr>
              <w:ind w:left="792"/>
              <w:rPr>
                <w:color w:val="FF0000"/>
                <w:sz w:val="16"/>
                <w:szCs w:val="16"/>
              </w:rPr>
            </w:pPr>
          </w:p>
          <w:p>
            <w:pPr>
              <w:ind w:left="792"/>
              <w:rPr>
                <w:color w:val="FF0000"/>
                <w:sz w:val="16"/>
                <w:szCs w:val="16"/>
              </w:rPr>
            </w:pPr>
          </w:p>
          <w:p>
            <w:pPr>
              <w:ind w:left="792"/>
              <w:rPr>
                <w:color w:val="FF0000"/>
                <w:sz w:val="16"/>
                <w:szCs w:val="16"/>
              </w:rPr>
            </w:pPr>
          </w:p>
          <w:p>
            <w:pPr>
              <w:ind w:left="792"/>
              <w:rPr>
                <w:color w:val="FF0000"/>
                <w:sz w:val="16"/>
                <w:szCs w:val="16"/>
              </w:rPr>
            </w:pPr>
          </w:p>
          <w:p>
            <w:pPr>
              <w:ind w:left="792"/>
              <w:rPr>
                <w:color w:val="FF0000"/>
                <w:sz w:val="16"/>
                <w:szCs w:val="16"/>
              </w:rPr>
            </w:pPr>
          </w:p>
          <w:p>
            <w:pPr>
              <w:ind w:left="792"/>
              <w:rPr>
                <w:color w:val="FF0000"/>
                <w:sz w:val="16"/>
                <w:szCs w:val="16"/>
              </w:rPr>
            </w:pPr>
          </w:p>
          <w:p>
            <w:pPr>
              <w:ind w:left="792"/>
              <w:rPr>
                <w:color w:val="FF0000"/>
                <w:sz w:val="16"/>
                <w:szCs w:val="16"/>
              </w:rPr>
            </w:pPr>
          </w:p>
          <w:p>
            <w:pPr>
              <w:ind w:left="792"/>
              <w:rPr>
                <w:color w:val="FF0000"/>
                <w:sz w:val="16"/>
                <w:szCs w:val="16"/>
              </w:rPr>
            </w:pPr>
          </w:p>
          <w:p>
            <w:pPr>
              <w:ind w:left="792"/>
              <w:rPr>
                <w:color w:val="FF0000"/>
                <w:sz w:val="16"/>
                <w:szCs w:val="16"/>
              </w:rPr>
            </w:pPr>
          </w:p>
          <w:p>
            <w:pPr>
              <w:ind w:left="792"/>
              <w:rPr>
                <w:color w:val="FF0000"/>
                <w:sz w:val="16"/>
                <w:szCs w:val="16"/>
              </w:rPr>
            </w:pPr>
          </w:p>
          <w:p>
            <w:pPr>
              <w:ind w:left="792"/>
              <w:rPr>
                <w:color w:val="FF0000"/>
                <w:sz w:val="16"/>
                <w:szCs w:val="16"/>
              </w:rPr>
            </w:pPr>
          </w:p>
          <w:p>
            <w:pPr>
              <w:ind w:left="792"/>
              <w:rPr>
                <w:color w:val="FF0000"/>
                <w:sz w:val="16"/>
                <w:szCs w:val="16"/>
              </w:rPr>
            </w:pPr>
          </w:p>
          <w:p>
            <w:pPr>
              <w:ind w:left="792"/>
              <w:rPr>
                <w:color w:val="FF0000"/>
                <w:sz w:val="16"/>
                <w:szCs w:val="16"/>
              </w:rPr>
            </w:pPr>
          </w:p>
          <w:p>
            <w:pPr>
              <w:ind w:left="792"/>
              <w:rPr>
                <w:color w:val="FF0000"/>
                <w:sz w:val="16"/>
                <w:szCs w:val="16"/>
              </w:rPr>
            </w:pPr>
          </w:p>
          <w:p>
            <w:pPr>
              <w:ind w:left="792"/>
              <w:rPr>
                <w:color w:val="FF0000"/>
                <w:sz w:val="16"/>
                <w:szCs w:val="16"/>
              </w:rPr>
            </w:pPr>
          </w:p>
          <w:p>
            <w:pPr>
              <w:ind w:left="792"/>
              <w:rPr>
                <w:color w:val="FF0000"/>
                <w:sz w:val="16"/>
                <w:szCs w:val="16"/>
              </w:rPr>
            </w:pPr>
          </w:p>
          <w:p>
            <w:pPr>
              <w:rPr>
                <w:color w:val="FF0000"/>
                <w:sz w:val="16"/>
                <w:szCs w:val="16"/>
              </w:rPr>
            </w:pPr>
          </w:p>
        </w:tc>
        <w:tc>
          <w:tcPr>
            <w:tcW w:w="485" w:type="dxa"/>
            <w:tcBorders>
              <w:top w:val="nil"/>
              <w:left w:val="single" w:sz="4" w:space="0" w:color="auto"/>
              <w:bottom w:val="nil"/>
              <w:right w:val="nil"/>
            </w:tcBorders>
            <w:shd w:val="clear" w:color="auto" w:fill="auto"/>
          </w:tcPr>
          <w:p>
            <w:pPr>
              <w:tabs>
                <w:tab w:val="left" w:pos="1980"/>
                <w:tab w:val="left" w:pos="4500"/>
                <w:tab w:val="left" w:leader="dot" w:pos="8460"/>
              </w:tabs>
              <w:ind w:left="72"/>
              <w:rPr>
                <w:rFonts w:ascii="Verdana" w:hAnsi="Verdana"/>
                <w:sz w:val="16"/>
                <w:szCs w:val="16"/>
              </w:rPr>
            </w:pPr>
          </w:p>
        </w:tc>
      </w:tr>
      <w:tr>
        <w:trPr>
          <w:trHeight w:val="3370"/>
        </w:trPr>
        <w:tc>
          <w:tcPr>
            <w:tcW w:w="3328" w:type="dxa"/>
            <w:vMerge/>
            <w:tcBorders>
              <w:bottom w:val="single" w:sz="4" w:space="0" w:color="auto"/>
            </w:tcBorders>
          </w:tcPr>
          <w:p>
            <w:pPr>
              <w:shd w:val="clear" w:color="auto" w:fill="D9D9D9"/>
              <w:ind w:left="284"/>
              <w:rPr>
                <w:b/>
                <w:sz w:val="16"/>
                <w:szCs w:val="16"/>
              </w:rPr>
            </w:pPr>
          </w:p>
        </w:tc>
        <w:tc>
          <w:tcPr>
            <w:tcW w:w="5492" w:type="dxa"/>
            <w:vMerge/>
            <w:tcBorders>
              <w:bottom w:val="single" w:sz="4" w:space="0" w:color="auto"/>
              <w:right w:val="single" w:sz="4" w:space="0" w:color="auto"/>
            </w:tcBorders>
          </w:tcPr>
          <w:p>
            <w:pPr>
              <w:shd w:val="clear" w:color="auto" w:fill="D9D9D9"/>
              <w:ind w:left="284"/>
              <w:rPr>
                <w:b/>
                <w:sz w:val="16"/>
                <w:szCs w:val="16"/>
              </w:rPr>
            </w:pPr>
          </w:p>
        </w:tc>
        <w:tc>
          <w:tcPr>
            <w:tcW w:w="485" w:type="dxa"/>
            <w:vMerge w:val="restart"/>
            <w:tcBorders>
              <w:top w:val="nil"/>
              <w:left w:val="single" w:sz="4" w:space="0" w:color="auto"/>
              <w:bottom w:val="nil"/>
              <w:right w:val="nil"/>
            </w:tcBorders>
            <w:shd w:val="clear" w:color="auto" w:fill="auto"/>
          </w:tcPr>
          <w:p>
            <w:pPr>
              <w:tabs>
                <w:tab w:val="left" w:pos="1980"/>
                <w:tab w:val="left" w:pos="4500"/>
                <w:tab w:val="left" w:leader="dot" w:pos="8460"/>
              </w:tabs>
              <w:ind w:left="72"/>
              <w:rPr>
                <w:rFonts w:ascii="Verdana" w:hAnsi="Verdana"/>
                <w:sz w:val="16"/>
                <w:szCs w:val="16"/>
              </w:rPr>
            </w:pPr>
            <w:r>
              <w:rPr>
                <w:rFonts w:ascii="Verdana" w:hAnsi="Verdana"/>
                <w:noProof/>
                <w:sz w:val="16"/>
                <w:szCs w:val="16"/>
                <w:lang w:val="fr-BE" w:eastAsia="fr-BE"/>
              </w:rPr>
              <w:drawing>
                <wp:inline distT="0" distB="0" distL="0" distR="0">
                  <wp:extent cx="302895" cy="5254625"/>
                  <wp:effectExtent l="19050" t="0" r="190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02895" cy="5254625"/>
                          </a:xfrm>
                          <a:prstGeom prst="rect">
                            <a:avLst/>
                          </a:prstGeom>
                          <a:noFill/>
                          <a:ln w="9525">
                            <a:noFill/>
                            <a:miter lim="800000"/>
                            <a:headEnd/>
                            <a:tailEnd/>
                          </a:ln>
                        </pic:spPr>
                      </pic:pic>
                    </a:graphicData>
                  </a:graphic>
                </wp:inline>
              </w:drawing>
            </w:r>
          </w:p>
        </w:tc>
      </w:tr>
      <w:tr>
        <w:trPr>
          <w:trHeight w:val="217"/>
        </w:trPr>
        <w:tc>
          <w:tcPr>
            <w:tcW w:w="8820" w:type="dxa"/>
            <w:gridSpan w:val="2"/>
            <w:tcBorders>
              <w:top w:val="single" w:sz="4" w:space="0" w:color="auto"/>
              <w:left w:val="nil"/>
              <w:bottom w:val="single" w:sz="4" w:space="0" w:color="auto"/>
              <w:right w:val="nil"/>
            </w:tcBorders>
            <w:shd w:val="clear" w:color="auto" w:fill="auto"/>
          </w:tcPr>
          <w:p>
            <w:pPr>
              <w:rPr>
                <w:b/>
                <w:sz w:val="16"/>
                <w:szCs w:val="16"/>
              </w:rPr>
            </w:pPr>
          </w:p>
        </w:tc>
        <w:tc>
          <w:tcPr>
            <w:tcW w:w="485" w:type="dxa"/>
            <w:vMerge/>
            <w:tcBorders>
              <w:top w:val="nil"/>
              <w:left w:val="nil"/>
              <w:bottom w:val="nil"/>
              <w:right w:val="nil"/>
            </w:tcBorders>
            <w:shd w:val="clear" w:color="auto" w:fill="auto"/>
          </w:tcPr>
          <w:p>
            <w:pPr>
              <w:tabs>
                <w:tab w:val="left" w:pos="1980"/>
                <w:tab w:val="left" w:pos="4500"/>
                <w:tab w:val="left" w:leader="dot" w:pos="8460"/>
              </w:tabs>
              <w:ind w:left="72"/>
              <w:rPr>
                <w:rFonts w:ascii="Verdana" w:hAnsi="Verdana"/>
                <w:sz w:val="16"/>
                <w:szCs w:val="16"/>
              </w:rPr>
            </w:pPr>
          </w:p>
        </w:tc>
      </w:tr>
      <w:tr>
        <w:trPr>
          <w:trHeight w:val="717"/>
        </w:trPr>
        <w:tc>
          <w:tcPr>
            <w:tcW w:w="8820" w:type="dxa"/>
            <w:gridSpan w:val="2"/>
            <w:tcBorders>
              <w:top w:val="single" w:sz="4" w:space="0" w:color="auto"/>
              <w:bottom w:val="single" w:sz="4" w:space="0" w:color="auto"/>
              <w:right w:val="single" w:sz="4" w:space="0" w:color="auto"/>
            </w:tcBorders>
            <w:shd w:val="clear" w:color="auto" w:fill="auto"/>
          </w:tcPr>
          <w:p>
            <w:pPr>
              <w:shd w:val="clear" w:color="auto" w:fill="D9D9D9"/>
              <w:tabs>
                <w:tab w:val="left" w:pos="252"/>
                <w:tab w:val="left" w:pos="1980"/>
                <w:tab w:val="left" w:pos="4500"/>
                <w:tab w:val="left" w:leader="dot" w:pos="8460"/>
              </w:tabs>
              <w:ind w:right="72"/>
              <w:rPr>
                <w:sz w:val="16"/>
                <w:szCs w:val="16"/>
              </w:rPr>
            </w:pPr>
            <w:r>
              <w:rPr>
                <w:sz w:val="16"/>
                <w:szCs w:val="16"/>
              </w:rPr>
              <w:br w:type="page"/>
            </w:r>
            <w:r>
              <w:rPr>
                <w:b/>
                <w:sz w:val="16"/>
                <w:szCs w:val="16"/>
              </w:rPr>
              <w:t>Signataire</w:t>
            </w:r>
          </w:p>
          <w:tbl>
            <w:tblPr>
              <w:tblW w:w="0" w:type="auto"/>
              <w:tblInd w:w="574" w:type="dxa"/>
              <w:tblLayout w:type="fixed"/>
              <w:tblLook w:val="01E0" w:firstRow="1" w:lastRow="1" w:firstColumn="1" w:lastColumn="1" w:noHBand="0" w:noVBand="0"/>
            </w:tblPr>
            <w:tblGrid>
              <w:gridCol w:w="1860"/>
              <w:gridCol w:w="6119"/>
            </w:tblGrid>
            <w:tr>
              <w:trPr>
                <w:trHeight w:val="678"/>
              </w:trPr>
              <w:tc>
                <w:tcPr>
                  <w:tcW w:w="1860" w:type="dxa"/>
                </w:tcPr>
                <w:p>
                  <w:pPr>
                    <w:tabs>
                      <w:tab w:val="left" w:pos="4500"/>
                      <w:tab w:val="left" w:leader="dot" w:pos="8460"/>
                    </w:tabs>
                    <w:rPr>
                      <w:sz w:val="16"/>
                      <w:szCs w:val="16"/>
                    </w:rPr>
                  </w:pPr>
                  <w:r>
                    <w:rPr>
                      <w:sz w:val="16"/>
                      <w:szCs w:val="16"/>
                    </w:rPr>
                    <w:t>Ministre / Administration :</w:t>
                  </w:r>
                </w:p>
              </w:tc>
              <w:tc>
                <w:tcPr>
                  <w:tcW w:w="6119" w:type="dxa"/>
                </w:tcPr>
                <w:p>
                  <w:pPr>
                    <w:tabs>
                      <w:tab w:val="left" w:pos="4500"/>
                      <w:tab w:val="left" w:leader="dot" w:pos="8460"/>
                    </w:tabs>
                    <w:rPr>
                      <w:color w:val="000000"/>
                      <w:sz w:val="16"/>
                      <w:szCs w:val="16"/>
                    </w:rPr>
                  </w:pPr>
                  <w:r>
                    <w:rPr>
                      <w:color w:val="000000"/>
                      <w:sz w:val="16"/>
                      <w:szCs w:val="16"/>
                    </w:rPr>
                    <w:t xml:space="preserve">Administration générale de l’Enseignement </w:t>
                  </w:r>
                </w:p>
                <w:p>
                  <w:pPr>
                    <w:tabs>
                      <w:tab w:val="left" w:pos="4500"/>
                      <w:tab w:val="left" w:leader="dot" w:pos="8460"/>
                    </w:tabs>
                    <w:rPr>
                      <w:color w:val="000000"/>
                      <w:sz w:val="16"/>
                      <w:szCs w:val="16"/>
                    </w:rPr>
                  </w:pPr>
                  <w:r>
                    <w:rPr>
                      <w:color w:val="000000"/>
                      <w:sz w:val="16"/>
                      <w:szCs w:val="16"/>
                    </w:rPr>
                    <w:t>Direction générale de l’enseignement obligatoire</w:t>
                  </w:r>
                </w:p>
                <w:p>
                  <w:pPr>
                    <w:tabs>
                      <w:tab w:val="left" w:pos="4500"/>
                      <w:tab w:val="left" w:leader="dot" w:pos="8460"/>
                    </w:tabs>
                    <w:rPr>
                      <w:color w:val="000000"/>
                      <w:sz w:val="16"/>
                      <w:szCs w:val="16"/>
                    </w:rPr>
                  </w:pPr>
                  <w:r>
                    <w:rPr>
                      <w:color w:val="000000"/>
                      <w:sz w:val="16"/>
                      <w:szCs w:val="16"/>
                    </w:rPr>
                    <w:t>Madame Lise-Anne HANSE, Directrice générale</w:t>
                  </w:r>
                </w:p>
              </w:tc>
            </w:tr>
          </w:tbl>
          <w:p>
            <w:pPr>
              <w:tabs>
                <w:tab w:val="left" w:pos="2700"/>
                <w:tab w:val="left" w:leader="dot" w:pos="9540"/>
              </w:tabs>
              <w:rPr>
                <w:sz w:val="16"/>
                <w:szCs w:val="16"/>
              </w:rPr>
            </w:pPr>
          </w:p>
          <w:p>
            <w:pPr>
              <w:shd w:val="clear" w:color="auto" w:fill="D9D9D9"/>
              <w:ind w:right="72"/>
              <w:rPr>
                <w:sz w:val="16"/>
                <w:szCs w:val="16"/>
              </w:rPr>
            </w:pPr>
            <w:r>
              <w:rPr>
                <w:b/>
                <w:sz w:val="16"/>
                <w:szCs w:val="16"/>
              </w:rPr>
              <w:t>Personnes de contact</w:t>
            </w:r>
          </w:p>
          <w:p>
            <w:pPr>
              <w:tabs>
                <w:tab w:val="left" w:pos="4500"/>
                <w:tab w:val="left" w:leader="dot" w:pos="8460"/>
              </w:tabs>
              <w:ind w:left="540"/>
              <w:rPr>
                <w:color w:val="000000"/>
                <w:sz w:val="16"/>
                <w:szCs w:val="16"/>
              </w:rPr>
            </w:pPr>
            <w:r>
              <w:rPr>
                <w:sz w:val="16"/>
                <w:szCs w:val="16"/>
              </w:rPr>
              <w:t>Service  o</w:t>
            </w:r>
            <w:r>
              <w:rPr>
                <w:color w:val="000000"/>
                <w:sz w:val="16"/>
                <w:szCs w:val="16"/>
              </w:rPr>
              <w:t>u Association : Service général de l’enseignement secondaire et des Centres Psycho-Médico-Sociaux</w:t>
            </w:r>
          </w:p>
          <w:tbl>
            <w:tblPr>
              <w:tblW w:w="7975" w:type="dxa"/>
              <w:tblInd w:w="57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2799"/>
              <w:gridCol w:w="1784"/>
              <w:gridCol w:w="3392"/>
            </w:tblGrid>
            <w:tr>
              <w:trPr>
                <w:trHeight w:val="176"/>
              </w:trPr>
              <w:tc>
                <w:tcPr>
                  <w:tcW w:w="2799" w:type="dxa"/>
                </w:tcPr>
                <w:p>
                  <w:pPr>
                    <w:tabs>
                      <w:tab w:val="left" w:pos="4500"/>
                      <w:tab w:val="left" w:leader="dot" w:pos="8460"/>
                    </w:tabs>
                    <w:rPr>
                      <w:color w:val="000000"/>
                      <w:sz w:val="16"/>
                      <w:szCs w:val="16"/>
                    </w:rPr>
                  </w:pPr>
                  <w:r>
                    <w:rPr>
                      <w:color w:val="000000"/>
                      <w:sz w:val="16"/>
                      <w:szCs w:val="16"/>
                    </w:rPr>
                    <w:t>Mme VAN HULLE Pauline</w:t>
                  </w:r>
                </w:p>
              </w:tc>
              <w:tc>
                <w:tcPr>
                  <w:tcW w:w="1784" w:type="dxa"/>
                </w:tcPr>
                <w:p>
                  <w:pPr>
                    <w:tabs>
                      <w:tab w:val="left" w:pos="4500"/>
                      <w:tab w:val="left" w:leader="dot" w:pos="8460"/>
                    </w:tabs>
                    <w:rPr>
                      <w:color w:val="000000"/>
                      <w:sz w:val="16"/>
                      <w:szCs w:val="16"/>
                    </w:rPr>
                  </w:pPr>
                  <w:r>
                    <w:rPr>
                      <w:color w:val="000000"/>
                      <w:sz w:val="16"/>
                      <w:szCs w:val="16"/>
                    </w:rPr>
                    <w:t>02/690.87.65</w:t>
                  </w:r>
                </w:p>
              </w:tc>
              <w:tc>
                <w:tcPr>
                  <w:tcW w:w="3392" w:type="dxa"/>
                </w:tcPr>
                <w:p>
                  <w:pPr>
                    <w:tabs>
                      <w:tab w:val="left" w:pos="4500"/>
                      <w:tab w:val="left" w:leader="dot" w:pos="8460"/>
                    </w:tabs>
                    <w:rPr>
                      <w:color w:val="000000"/>
                      <w:sz w:val="16"/>
                      <w:szCs w:val="16"/>
                    </w:rPr>
                  </w:pPr>
                  <w:hyperlink r:id="rId10" w:history="1">
                    <w:r>
                      <w:rPr>
                        <w:rStyle w:val="Lienhypertexte"/>
                        <w:sz w:val="16"/>
                        <w:szCs w:val="16"/>
                      </w:rPr>
                      <w:t>pauline.vanhulle@cfwb.be</w:t>
                    </w:r>
                  </w:hyperlink>
                  <w:r>
                    <w:rPr>
                      <w:color w:val="000000"/>
                      <w:sz w:val="16"/>
                      <w:szCs w:val="16"/>
                    </w:rPr>
                    <w:t xml:space="preserve"> </w:t>
                  </w:r>
                </w:p>
              </w:tc>
            </w:tr>
            <w:tr>
              <w:trPr>
                <w:trHeight w:val="137"/>
              </w:trPr>
              <w:tc>
                <w:tcPr>
                  <w:tcW w:w="2799" w:type="dxa"/>
                </w:tcPr>
                <w:p>
                  <w:pPr>
                    <w:tabs>
                      <w:tab w:val="left" w:pos="4500"/>
                      <w:tab w:val="left" w:leader="dot" w:pos="8460"/>
                    </w:tabs>
                    <w:rPr>
                      <w:color w:val="000000"/>
                      <w:sz w:val="16"/>
                      <w:szCs w:val="16"/>
                    </w:rPr>
                  </w:pPr>
                  <w:r>
                    <w:rPr>
                      <w:color w:val="000000"/>
                      <w:sz w:val="16"/>
                      <w:szCs w:val="16"/>
                    </w:rPr>
                    <w:t>Mme DUPONT Gaëtane</w:t>
                  </w:r>
                </w:p>
              </w:tc>
              <w:tc>
                <w:tcPr>
                  <w:tcW w:w="1784" w:type="dxa"/>
                </w:tcPr>
                <w:p>
                  <w:pPr>
                    <w:tabs>
                      <w:tab w:val="left" w:pos="4500"/>
                      <w:tab w:val="left" w:leader="dot" w:pos="8460"/>
                    </w:tabs>
                    <w:rPr>
                      <w:color w:val="000000"/>
                      <w:sz w:val="16"/>
                      <w:szCs w:val="16"/>
                    </w:rPr>
                  </w:pPr>
                  <w:r>
                    <w:rPr>
                      <w:color w:val="000000"/>
                      <w:sz w:val="16"/>
                      <w:szCs w:val="16"/>
                    </w:rPr>
                    <w:t>02/690.86.64</w:t>
                  </w:r>
                </w:p>
              </w:tc>
              <w:tc>
                <w:tcPr>
                  <w:tcW w:w="3392" w:type="dxa"/>
                </w:tcPr>
                <w:p>
                  <w:pPr>
                    <w:tabs>
                      <w:tab w:val="left" w:pos="4500"/>
                      <w:tab w:val="left" w:leader="dot" w:pos="8460"/>
                    </w:tabs>
                  </w:pPr>
                  <w:hyperlink r:id="rId11" w:history="1">
                    <w:r>
                      <w:rPr>
                        <w:rStyle w:val="Lienhypertexte"/>
                        <w:sz w:val="16"/>
                        <w:szCs w:val="16"/>
                      </w:rPr>
                      <w:t>gaetane.dupont@cfwb.be</w:t>
                    </w:r>
                  </w:hyperlink>
                </w:p>
              </w:tc>
            </w:tr>
            <w:tr>
              <w:trPr>
                <w:trHeight w:val="137"/>
              </w:trPr>
              <w:tc>
                <w:tcPr>
                  <w:tcW w:w="2799" w:type="dxa"/>
                </w:tcPr>
                <w:p>
                  <w:pPr>
                    <w:tabs>
                      <w:tab w:val="left" w:pos="4500"/>
                      <w:tab w:val="left" w:leader="dot" w:pos="8460"/>
                    </w:tabs>
                    <w:rPr>
                      <w:color w:val="000000"/>
                      <w:sz w:val="16"/>
                      <w:szCs w:val="16"/>
                    </w:rPr>
                  </w:pPr>
                  <w:r>
                    <w:rPr>
                      <w:color w:val="000000"/>
                      <w:sz w:val="16"/>
                      <w:szCs w:val="16"/>
                    </w:rPr>
                    <w:t xml:space="preserve">Mme MALO Valérie </w:t>
                  </w:r>
                </w:p>
              </w:tc>
              <w:tc>
                <w:tcPr>
                  <w:tcW w:w="1784" w:type="dxa"/>
                </w:tcPr>
                <w:p>
                  <w:pPr>
                    <w:tabs>
                      <w:tab w:val="left" w:pos="4500"/>
                      <w:tab w:val="left" w:leader="dot" w:pos="8460"/>
                    </w:tabs>
                    <w:rPr>
                      <w:color w:val="000000"/>
                      <w:sz w:val="16"/>
                      <w:szCs w:val="16"/>
                    </w:rPr>
                  </w:pPr>
                  <w:r>
                    <w:rPr>
                      <w:color w:val="000000"/>
                      <w:sz w:val="16"/>
                      <w:szCs w:val="16"/>
                    </w:rPr>
                    <w:t>02/690.84.72</w:t>
                  </w:r>
                </w:p>
              </w:tc>
              <w:tc>
                <w:tcPr>
                  <w:tcW w:w="3392" w:type="dxa"/>
                </w:tcPr>
                <w:p>
                  <w:pPr>
                    <w:tabs>
                      <w:tab w:val="left" w:pos="4500"/>
                      <w:tab w:val="left" w:leader="dot" w:pos="8460"/>
                    </w:tabs>
                    <w:rPr>
                      <w:color w:val="000000"/>
                      <w:sz w:val="16"/>
                      <w:szCs w:val="16"/>
                    </w:rPr>
                  </w:pPr>
                  <w:hyperlink r:id="rId12" w:history="1">
                    <w:r>
                      <w:rPr>
                        <w:rStyle w:val="Lienhypertexte"/>
                        <w:sz w:val="16"/>
                        <w:szCs w:val="16"/>
                      </w:rPr>
                      <w:t>valerie.malo@cfwb.be</w:t>
                    </w:r>
                  </w:hyperlink>
                  <w:r>
                    <w:rPr>
                      <w:color w:val="000000"/>
                      <w:sz w:val="16"/>
                      <w:szCs w:val="16"/>
                    </w:rPr>
                    <w:t xml:space="preserve"> </w:t>
                  </w:r>
                </w:p>
              </w:tc>
            </w:tr>
          </w:tbl>
          <w:p>
            <w:pPr>
              <w:tabs>
                <w:tab w:val="left" w:pos="4500"/>
                <w:tab w:val="left" w:leader="dot" w:pos="8460"/>
              </w:tabs>
              <w:rPr>
                <w:sz w:val="16"/>
                <w:szCs w:val="16"/>
              </w:rPr>
            </w:pPr>
          </w:p>
        </w:tc>
        <w:tc>
          <w:tcPr>
            <w:tcW w:w="485" w:type="dxa"/>
            <w:vMerge/>
            <w:tcBorders>
              <w:top w:val="nil"/>
              <w:left w:val="single" w:sz="4" w:space="0" w:color="auto"/>
              <w:bottom w:val="nil"/>
              <w:right w:val="nil"/>
            </w:tcBorders>
            <w:shd w:val="clear" w:color="auto" w:fill="auto"/>
          </w:tcPr>
          <w:p>
            <w:pPr>
              <w:tabs>
                <w:tab w:val="left" w:pos="1980"/>
                <w:tab w:val="left" w:pos="4500"/>
                <w:tab w:val="left" w:leader="dot" w:pos="8460"/>
              </w:tabs>
              <w:ind w:left="72"/>
              <w:rPr>
                <w:rFonts w:ascii="Verdana" w:hAnsi="Verdana"/>
                <w:sz w:val="16"/>
                <w:szCs w:val="16"/>
              </w:rPr>
            </w:pPr>
          </w:p>
        </w:tc>
      </w:tr>
    </w:tbl>
    <w:p>
      <w:pPr>
        <w:pBdr>
          <w:top w:val="single" w:sz="4" w:space="1" w:color="auto"/>
          <w:left w:val="single" w:sz="4" w:space="4" w:color="auto"/>
          <w:bottom w:val="single" w:sz="4" w:space="1" w:color="auto"/>
          <w:right w:val="single" w:sz="4" w:space="4" w:color="auto"/>
        </w:pBdr>
        <w:spacing w:line="360" w:lineRule="auto"/>
        <w:rPr>
          <w:rFonts w:ascii="Georgia" w:hAnsi="Georgia" w:cs="Arial"/>
          <w:caps/>
          <w:sz w:val="22"/>
          <w:szCs w:val="22"/>
        </w:rPr>
      </w:pPr>
      <w:r>
        <w:rPr>
          <w:rFonts w:ascii="Georgia" w:hAnsi="Georgia" w:cs="Arial"/>
          <w:caps/>
          <w:sz w:val="22"/>
          <w:szCs w:val="22"/>
        </w:rPr>
        <w:br w:type="page"/>
      </w:r>
    </w:p>
    <w:p>
      <w:pPr>
        <w:pBdr>
          <w:top w:val="single" w:sz="4" w:space="1" w:color="auto"/>
          <w:left w:val="single" w:sz="4" w:space="4" w:color="auto"/>
          <w:bottom w:val="single" w:sz="4" w:space="1" w:color="auto"/>
          <w:right w:val="single" w:sz="4" w:space="4" w:color="auto"/>
        </w:pBdr>
        <w:spacing w:line="360" w:lineRule="auto"/>
        <w:jc w:val="center"/>
        <w:rPr>
          <w:rFonts w:ascii="Georgia" w:hAnsi="Georgia" w:cs="Arial"/>
          <w:caps/>
          <w:sz w:val="22"/>
          <w:szCs w:val="22"/>
        </w:rPr>
      </w:pPr>
      <w:r>
        <w:rPr>
          <w:rFonts w:ascii="Georgia" w:hAnsi="Georgia" w:cs="Arial"/>
          <w:caps/>
          <w:sz w:val="22"/>
          <w:szCs w:val="22"/>
        </w:rPr>
        <w:lastRenderedPageBreak/>
        <w:t>Recours contre les décisions des Conseils de classe dans l’enseignement secondaire ORDINAIRE</w:t>
      </w:r>
    </w:p>
    <w:p>
      <w:pPr>
        <w:spacing w:line="360" w:lineRule="auto"/>
        <w:jc w:val="both"/>
        <w:rPr>
          <w:rFonts w:ascii="Georgia" w:hAnsi="Georgia" w:cs="Arial"/>
          <w:b/>
          <w:sz w:val="22"/>
          <w:szCs w:val="22"/>
        </w:rPr>
      </w:pPr>
    </w:p>
    <w:p>
      <w:pPr>
        <w:spacing w:line="360" w:lineRule="auto"/>
        <w:jc w:val="both"/>
        <w:rPr>
          <w:rFonts w:ascii="Georgia" w:hAnsi="Georgia" w:cs="Arial"/>
          <w:sz w:val="22"/>
          <w:szCs w:val="22"/>
        </w:rPr>
      </w:pPr>
      <w:r>
        <w:rPr>
          <w:rFonts w:ascii="Georgia" w:hAnsi="Georgia" w:cs="Arial"/>
          <w:sz w:val="22"/>
          <w:szCs w:val="22"/>
        </w:rPr>
        <w:t>Le Décret du 24 juillet 1997 définissant les missions prioritaires de l’enseignement fondamental et de l’enseignement secondaire et organisant les structures propres à les atteindre a instauré la possibilité d’introduire un recours contre certaines décisions des Conseils de classe et des Jurys de qualification dans l’enseignement secondaire ordinaire</w:t>
      </w:r>
      <w:r>
        <w:rPr>
          <w:rStyle w:val="Appelnotedebasdep"/>
          <w:rFonts w:ascii="Georgia" w:hAnsi="Georgia" w:cs="Arial"/>
          <w:sz w:val="22"/>
          <w:szCs w:val="22"/>
        </w:rPr>
        <w:footnoteReference w:id="1"/>
      </w:r>
      <w:r>
        <w:rPr>
          <w:rFonts w:ascii="Georgia" w:hAnsi="Georgia" w:cs="Arial"/>
          <w:sz w:val="22"/>
          <w:szCs w:val="22"/>
        </w:rPr>
        <w:t>.</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 xml:space="preserve">La présente circulaire reprend les principales recommandations et instructions usuelles de fin d'année et précise les modalités obligatoires à respecter. </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Elle propose en outre des exemples et suggestions destinés à aider les Chefs d'établissement dans la rédaction des motivations des décisions des Conseils de classe et des Jurys de qualification.</w:t>
      </w:r>
    </w:p>
    <w:p>
      <w:pPr>
        <w:spacing w:line="360" w:lineRule="auto"/>
        <w:jc w:val="both"/>
        <w:rPr>
          <w:rStyle w:val="Accentuation"/>
          <w:rFonts w:ascii="Georgia" w:hAnsi="Georgia" w:cs="Arial"/>
          <w:b w:val="0"/>
          <w:sz w:val="22"/>
          <w:szCs w:val="22"/>
        </w:rPr>
      </w:pPr>
    </w:p>
    <w:p>
      <w:pPr>
        <w:spacing w:line="360" w:lineRule="auto"/>
        <w:jc w:val="both"/>
        <w:rPr>
          <w:rFonts w:ascii="Georgia" w:hAnsi="Georgia" w:cs="Arial"/>
          <w:sz w:val="22"/>
          <w:szCs w:val="22"/>
        </w:rPr>
      </w:pPr>
      <w:r>
        <w:rPr>
          <w:rFonts w:ascii="Georgia" w:hAnsi="Georgia" w:cs="Arial"/>
          <w:sz w:val="22"/>
          <w:szCs w:val="22"/>
        </w:rPr>
        <w:t>La présente circulaire abroge la circulaire n°6136 du 06 avril 2017 ayant pour objet : « Recours contre les décisions des Conseils de classe et des Jurys de qualification dans l'enseignement secondaire ordinaire 2016-2017».</w:t>
      </w:r>
    </w:p>
    <w:p>
      <w:pPr>
        <w:spacing w:line="360" w:lineRule="auto"/>
        <w:jc w:val="both"/>
        <w:rPr>
          <w:rStyle w:val="Accentuation"/>
          <w:rFonts w:ascii="Georgia" w:hAnsi="Georgia" w:cs="Arial"/>
          <w:b w:val="0"/>
          <w:sz w:val="22"/>
          <w:szCs w:val="22"/>
        </w:rPr>
      </w:pPr>
    </w:p>
    <w:p>
      <w:pPr>
        <w:ind w:right="141"/>
        <w:jc w:val="both"/>
        <w:rPr>
          <w:rFonts w:ascii="Georgia" w:hAnsi="Georgia" w:cs="Arial"/>
          <w:sz w:val="22"/>
          <w:szCs w:val="22"/>
        </w:rPr>
      </w:pPr>
      <w:r>
        <w:rPr>
          <w:rFonts w:ascii="Georgia" w:hAnsi="Georgia" w:cs="Arial"/>
          <w:sz w:val="22"/>
          <w:szCs w:val="22"/>
        </w:rPr>
        <w:t>Je vous remercie de l’attention que vous prêterez à la présente circulaire.</w:t>
      </w:r>
    </w:p>
    <w:p>
      <w:pPr>
        <w:ind w:right="141"/>
        <w:jc w:val="both"/>
        <w:rPr>
          <w:rFonts w:ascii="Georgia" w:hAnsi="Georgia" w:cs="Arial"/>
          <w:sz w:val="22"/>
          <w:szCs w:val="22"/>
        </w:rPr>
      </w:pPr>
    </w:p>
    <w:p>
      <w:pPr>
        <w:ind w:right="141"/>
        <w:jc w:val="both"/>
        <w:rPr>
          <w:rFonts w:ascii="Georgia" w:hAnsi="Georgia" w:cs="Arial"/>
          <w:sz w:val="22"/>
          <w:szCs w:val="22"/>
        </w:rPr>
      </w:pPr>
    </w:p>
    <w:p>
      <w:pPr>
        <w:ind w:right="141"/>
        <w:jc w:val="both"/>
        <w:rPr>
          <w:rFonts w:ascii="Georgia" w:hAnsi="Georgia" w:cs="Arial"/>
          <w:sz w:val="22"/>
          <w:szCs w:val="22"/>
        </w:rPr>
      </w:pPr>
    </w:p>
    <w:p>
      <w:pPr>
        <w:ind w:right="141"/>
        <w:jc w:val="both"/>
        <w:rPr>
          <w:rFonts w:ascii="Georgia" w:hAnsi="Georgia" w:cs="Arial"/>
          <w:sz w:val="22"/>
          <w:szCs w:val="22"/>
        </w:rPr>
      </w:pPr>
    </w:p>
    <w:p>
      <w:pPr>
        <w:spacing w:line="360" w:lineRule="auto"/>
        <w:ind w:left="5529"/>
        <w:jc w:val="center"/>
        <w:rPr>
          <w:rFonts w:ascii="Georgia" w:hAnsi="Georgia" w:cs="Arial"/>
          <w:sz w:val="22"/>
          <w:szCs w:val="22"/>
        </w:rPr>
      </w:pPr>
      <w:r>
        <w:rPr>
          <w:rFonts w:ascii="Georgia" w:hAnsi="Georgia" w:cs="Arial"/>
          <w:sz w:val="22"/>
          <w:szCs w:val="22"/>
        </w:rPr>
        <w:t>Pour la Directrice générale absente,</w:t>
      </w:r>
    </w:p>
    <w:p>
      <w:pPr>
        <w:spacing w:line="360" w:lineRule="auto"/>
        <w:ind w:left="5529"/>
        <w:jc w:val="center"/>
        <w:rPr>
          <w:rFonts w:ascii="Georgia" w:hAnsi="Georgia" w:cs="Arial"/>
          <w:sz w:val="22"/>
          <w:szCs w:val="22"/>
        </w:rPr>
      </w:pPr>
      <w:r>
        <w:rPr>
          <w:rFonts w:ascii="Georgia" w:hAnsi="Georgia" w:cs="Arial"/>
          <w:sz w:val="22"/>
          <w:szCs w:val="22"/>
        </w:rPr>
        <w:t>La Directrice générale adjointe,</w:t>
      </w:r>
    </w:p>
    <w:p>
      <w:pPr>
        <w:spacing w:line="360" w:lineRule="auto"/>
        <w:rPr>
          <w:rFonts w:ascii="Georgia" w:hAnsi="Georgia" w:cs="Arial"/>
          <w:sz w:val="22"/>
          <w:szCs w:val="22"/>
        </w:rPr>
      </w:pPr>
    </w:p>
    <w:p>
      <w:pPr>
        <w:spacing w:line="360" w:lineRule="auto"/>
        <w:rPr>
          <w:rFonts w:ascii="Georgia" w:hAnsi="Georgia" w:cs="Arial"/>
          <w:sz w:val="22"/>
          <w:szCs w:val="22"/>
        </w:rPr>
      </w:pPr>
    </w:p>
    <w:p>
      <w:pPr>
        <w:spacing w:line="360" w:lineRule="auto"/>
        <w:ind w:left="5940" w:firstLine="432"/>
        <w:rPr>
          <w:rFonts w:ascii="Georgia" w:hAnsi="Georgia" w:cs="Arial"/>
          <w:sz w:val="22"/>
          <w:szCs w:val="22"/>
        </w:rPr>
      </w:pPr>
      <w:r>
        <w:rPr>
          <w:rFonts w:ascii="Georgia" w:hAnsi="Georgia" w:cs="Arial"/>
          <w:sz w:val="22"/>
          <w:szCs w:val="22"/>
        </w:rPr>
        <w:t>Anne HELLEMANS</w:t>
      </w:r>
    </w:p>
    <w:p>
      <w:pPr>
        <w:rPr>
          <w:rFonts w:ascii="Georgia" w:hAnsi="Georgia" w:cs="Arial"/>
          <w:sz w:val="22"/>
          <w:szCs w:val="22"/>
        </w:rPr>
      </w:pPr>
      <w:r>
        <w:rPr>
          <w:rFonts w:ascii="Georgia" w:hAnsi="Georgia" w:cs="Arial"/>
          <w:sz w:val="22"/>
          <w:szCs w:val="22"/>
        </w:rPr>
        <w:br w:type="page"/>
      </w:r>
    </w:p>
    <w:p>
      <w:pPr>
        <w:numPr>
          <w:ilvl w:val="0"/>
          <w:numId w:val="41"/>
        </w:numPr>
        <w:tabs>
          <w:tab w:val="clear" w:pos="720"/>
          <w:tab w:val="num" w:pos="0"/>
        </w:tabs>
        <w:spacing w:line="360" w:lineRule="auto"/>
        <w:ind w:left="0" w:firstLine="0"/>
        <w:jc w:val="both"/>
        <w:rPr>
          <w:rFonts w:ascii="Georgia" w:hAnsi="Georgia" w:cs="Arial"/>
          <w:b/>
          <w:sz w:val="28"/>
          <w:szCs w:val="28"/>
          <w:u w:val="single"/>
        </w:rPr>
      </w:pPr>
      <w:r>
        <w:rPr>
          <w:rFonts w:ascii="Georgia" w:hAnsi="Georgia" w:cs="Arial"/>
          <w:b/>
          <w:sz w:val="28"/>
          <w:szCs w:val="28"/>
          <w:u w:val="single"/>
        </w:rPr>
        <w:lastRenderedPageBreak/>
        <w:t>Informations générales</w:t>
      </w:r>
    </w:p>
    <w:p>
      <w:pPr>
        <w:spacing w:line="360" w:lineRule="auto"/>
        <w:jc w:val="both"/>
        <w:rPr>
          <w:rFonts w:ascii="Georgia" w:hAnsi="Georgia" w:cs="Arial"/>
          <w:b/>
          <w:sz w:val="22"/>
          <w:szCs w:val="22"/>
          <w:u w:val="single"/>
        </w:rPr>
      </w:pPr>
    </w:p>
    <w:p>
      <w:pPr>
        <w:tabs>
          <w:tab w:val="left" w:pos="0"/>
        </w:tabs>
        <w:spacing w:line="360" w:lineRule="auto"/>
        <w:jc w:val="both"/>
        <w:rPr>
          <w:rFonts w:ascii="Georgia" w:hAnsi="Georgia" w:cs="Arial"/>
          <w:sz w:val="22"/>
          <w:szCs w:val="22"/>
        </w:rPr>
      </w:pPr>
      <w:r>
        <w:rPr>
          <w:rFonts w:ascii="Georgia" w:hAnsi="Georgia" w:cs="Arial"/>
          <w:sz w:val="22"/>
          <w:szCs w:val="22"/>
        </w:rPr>
        <w:t>Dans ce qui suit, lorsque le terme "élève" est utilisé, il s'agit de l'élève majeur (excepté au point B.4 qui concerne les exemples de motivation). Le terme "parents" signifie "les parents de l’élève mineur", ou "la personne investie de l’autorité parentale".</w:t>
      </w:r>
    </w:p>
    <w:p>
      <w:pPr>
        <w:spacing w:line="360" w:lineRule="auto"/>
        <w:jc w:val="both"/>
        <w:rPr>
          <w:rFonts w:ascii="Georgia" w:hAnsi="Georgia" w:cs="Arial"/>
          <w:b/>
          <w:sz w:val="22"/>
          <w:szCs w:val="22"/>
          <w:u w:val="single"/>
        </w:rPr>
      </w:pPr>
    </w:p>
    <w:p>
      <w:pPr>
        <w:numPr>
          <w:ilvl w:val="0"/>
          <w:numId w:val="6"/>
        </w:numPr>
        <w:spacing w:line="360" w:lineRule="auto"/>
        <w:jc w:val="both"/>
        <w:rPr>
          <w:rFonts w:ascii="Georgia" w:hAnsi="Georgia" w:cs="Arial"/>
          <w:caps/>
          <w:sz w:val="22"/>
          <w:szCs w:val="22"/>
          <w:u w:val="single"/>
        </w:rPr>
      </w:pPr>
      <w:r>
        <w:rPr>
          <w:rFonts w:ascii="Georgia" w:hAnsi="Georgia" w:cs="Arial"/>
          <w:caps/>
          <w:sz w:val="22"/>
          <w:szCs w:val="22"/>
          <w:u w:val="single"/>
        </w:rPr>
        <w:t>Informations à communiquer aux élèves et à leurs parents</w:t>
      </w:r>
    </w:p>
    <w:p>
      <w:pPr>
        <w:spacing w:line="360" w:lineRule="auto"/>
        <w:jc w:val="both"/>
        <w:rPr>
          <w:rFonts w:ascii="Georgia" w:hAnsi="Georgia" w:cs="Arial"/>
          <w:b/>
          <w:sz w:val="22"/>
          <w:szCs w:val="22"/>
          <w:u w:val="single"/>
        </w:rPr>
      </w:pPr>
    </w:p>
    <w:p>
      <w:pPr>
        <w:spacing w:line="360" w:lineRule="auto"/>
        <w:jc w:val="both"/>
        <w:rPr>
          <w:rFonts w:ascii="Georgia" w:hAnsi="Georgia" w:cs="Arial"/>
          <w:sz w:val="22"/>
          <w:szCs w:val="22"/>
        </w:rPr>
      </w:pPr>
      <w:r>
        <w:rPr>
          <w:rFonts w:ascii="Georgia" w:hAnsi="Georgia" w:cs="Arial"/>
          <w:sz w:val="22"/>
          <w:szCs w:val="22"/>
        </w:rPr>
        <w:t xml:space="preserve">Afin d'assurer une parfaite information des élèves et des parents sur les modalités de fin d'année scolaire, il est conseillé de rappeler au début du mois de juin, </w:t>
      </w:r>
      <w:r>
        <w:rPr>
          <w:rFonts w:ascii="Georgia" w:hAnsi="Georgia" w:cs="Arial"/>
          <w:b/>
          <w:sz w:val="22"/>
          <w:szCs w:val="22"/>
        </w:rPr>
        <w:t>par écrit</w:t>
      </w:r>
      <w:r>
        <w:rPr>
          <w:rFonts w:ascii="Georgia" w:hAnsi="Georgia" w:cs="Arial"/>
          <w:sz w:val="22"/>
          <w:szCs w:val="22"/>
        </w:rPr>
        <w:t>, de préférence via le journal de classe :</w:t>
      </w:r>
    </w:p>
    <w:p>
      <w:pPr>
        <w:spacing w:line="360" w:lineRule="auto"/>
        <w:jc w:val="both"/>
        <w:rPr>
          <w:rFonts w:ascii="Georgia" w:hAnsi="Georgia" w:cs="Arial"/>
          <w:sz w:val="22"/>
          <w:szCs w:val="22"/>
        </w:rPr>
      </w:pPr>
    </w:p>
    <w:p>
      <w:pPr>
        <w:numPr>
          <w:ilvl w:val="0"/>
          <w:numId w:val="2"/>
        </w:numPr>
        <w:spacing w:line="360" w:lineRule="auto"/>
        <w:ind w:left="714" w:hanging="357"/>
        <w:jc w:val="both"/>
        <w:rPr>
          <w:rFonts w:ascii="Georgia" w:hAnsi="Georgia" w:cs="Arial"/>
          <w:sz w:val="22"/>
          <w:szCs w:val="22"/>
        </w:rPr>
      </w:pPr>
      <w:r>
        <w:rPr>
          <w:rFonts w:ascii="Georgia" w:hAnsi="Georgia" w:cs="Arial"/>
          <w:sz w:val="22"/>
          <w:szCs w:val="22"/>
        </w:rPr>
        <w:t>le moment (date et heure), le mode de communication et le lieu où les décisions des Conseils de classe seront communiquées aux élèves ainsi qu'aux parents ;</w:t>
      </w:r>
    </w:p>
    <w:p>
      <w:pPr>
        <w:numPr>
          <w:ilvl w:val="0"/>
          <w:numId w:val="2"/>
        </w:numPr>
        <w:spacing w:line="360" w:lineRule="auto"/>
        <w:ind w:left="714" w:hanging="357"/>
        <w:jc w:val="both"/>
        <w:rPr>
          <w:rFonts w:ascii="Georgia" w:hAnsi="Georgia" w:cs="Arial"/>
          <w:sz w:val="22"/>
          <w:szCs w:val="22"/>
        </w:rPr>
      </w:pPr>
      <w:r>
        <w:rPr>
          <w:rFonts w:ascii="Georgia" w:hAnsi="Georgia" w:cs="Arial"/>
          <w:sz w:val="22"/>
          <w:szCs w:val="22"/>
        </w:rPr>
        <w:t>la possibilité de recours à l’encontre de certaines décisions des Conseils de classe ou du refus d’octroi du certificat de qualification pris par un Jury de qualification et le calendrier à respecter par les élèves et les parents pour introduire une demande de conciliation (procédure interne) auprès du Chef d’établissement.</w:t>
      </w:r>
    </w:p>
    <w:p>
      <w:pPr>
        <w:tabs>
          <w:tab w:val="left" w:pos="5115"/>
        </w:tabs>
        <w:spacing w:line="360" w:lineRule="auto"/>
        <w:jc w:val="both"/>
        <w:rPr>
          <w:rFonts w:ascii="Georgia" w:hAnsi="Georgia" w:cs="Arial"/>
          <w:sz w:val="22"/>
          <w:szCs w:val="22"/>
        </w:rPr>
      </w:pPr>
      <w:r>
        <w:rPr>
          <w:rFonts w:ascii="Georgia" w:hAnsi="Georgia" w:cs="Arial"/>
          <w:sz w:val="22"/>
          <w:szCs w:val="22"/>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0"/>
      </w:tblGrid>
      <w:tr>
        <w:tc>
          <w:tcPr>
            <w:tcW w:w="9210" w:type="dxa"/>
            <w:shd w:val="clear" w:color="auto" w:fill="auto"/>
          </w:tcPr>
          <w:p>
            <w:pPr>
              <w:spacing w:line="360" w:lineRule="auto"/>
              <w:jc w:val="both"/>
              <w:rPr>
                <w:rFonts w:ascii="Georgia" w:hAnsi="Georgia" w:cs="Arial"/>
                <w:b/>
                <w:sz w:val="22"/>
                <w:szCs w:val="22"/>
              </w:rPr>
            </w:pPr>
            <w:r>
              <w:rPr>
                <w:rFonts w:ascii="Georgia" w:hAnsi="Georgia" w:cs="Arial"/>
                <w:b/>
                <w:sz w:val="22"/>
                <w:szCs w:val="22"/>
              </w:rPr>
              <w:t>Afin de s'assurer de la parfaite diffusion de l'information, ce document devrait idéalement être signé par l'élève majeur ou les parents de l’élève mineur. Il conviendrait également qu’une copie de ce document soit conservée par le Chef d’établissement afin d’attester de son existence en cas de litige.</w:t>
            </w:r>
          </w:p>
        </w:tc>
      </w:tr>
    </w:tbl>
    <w:p>
      <w:pPr>
        <w:spacing w:line="360" w:lineRule="auto"/>
        <w:jc w:val="both"/>
        <w:rPr>
          <w:rFonts w:ascii="Georgia" w:hAnsi="Georgia" w:cs="Arial"/>
          <w:sz w:val="22"/>
          <w:szCs w:val="22"/>
        </w:rPr>
      </w:pPr>
    </w:p>
    <w:p>
      <w:pPr>
        <w:numPr>
          <w:ilvl w:val="0"/>
          <w:numId w:val="6"/>
        </w:numPr>
        <w:spacing w:line="360" w:lineRule="auto"/>
        <w:jc w:val="both"/>
        <w:rPr>
          <w:rFonts w:ascii="Georgia" w:hAnsi="Georgia" w:cs="Arial"/>
          <w:caps/>
          <w:sz w:val="22"/>
          <w:szCs w:val="22"/>
          <w:u w:val="single"/>
        </w:rPr>
      </w:pPr>
      <w:r>
        <w:rPr>
          <w:rFonts w:ascii="Georgia" w:hAnsi="Georgia" w:cs="Arial"/>
          <w:caps/>
          <w:sz w:val="22"/>
          <w:szCs w:val="22"/>
          <w:u w:val="single"/>
        </w:rPr>
        <w:t>Conseils de classe</w:t>
      </w:r>
    </w:p>
    <w:p>
      <w:pPr>
        <w:spacing w:line="360" w:lineRule="auto"/>
        <w:ind w:left="360"/>
        <w:jc w:val="both"/>
        <w:rPr>
          <w:rFonts w:ascii="Georgia" w:hAnsi="Georgia" w:cs="Arial"/>
          <w:caps/>
          <w:sz w:val="22"/>
          <w:szCs w:val="22"/>
          <w:u w:val="single"/>
        </w:rPr>
      </w:pPr>
    </w:p>
    <w:p>
      <w:pPr>
        <w:spacing w:line="360" w:lineRule="auto"/>
        <w:jc w:val="both"/>
        <w:rPr>
          <w:rFonts w:ascii="Georgia" w:hAnsi="Georgia" w:cs="Arial"/>
          <w:sz w:val="22"/>
          <w:szCs w:val="22"/>
        </w:rPr>
      </w:pPr>
      <w:r>
        <w:rPr>
          <w:rFonts w:ascii="Georgia" w:hAnsi="Georgia" w:cs="Arial"/>
          <w:sz w:val="22"/>
          <w:szCs w:val="22"/>
        </w:rPr>
        <w:t>L'article 21bis, §3 de l'Arrêté royal</w:t>
      </w:r>
      <w:bookmarkStart w:id="17" w:name="DateArrêté"/>
      <w:r>
        <w:rPr>
          <w:rFonts w:ascii="Georgia" w:hAnsi="Georgia" w:cs="Arial"/>
          <w:sz w:val="22"/>
          <w:szCs w:val="22"/>
        </w:rPr>
        <w:t xml:space="preserve"> du 29 juin 1984</w:t>
      </w:r>
      <w:bookmarkEnd w:id="17"/>
      <w:r>
        <w:rPr>
          <w:rFonts w:ascii="Georgia" w:hAnsi="Georgia" w:cs="Arial"/>
          <w:sz w:val="22"/>
          <w:szCs w:val="22"/>
        </w:rPr>
        <w:t xml:space="preserve"> relatif à l'organisation de l'enseignement secondaire stipule que les Conseils de classe f</w:t>
      </w:r>
      <w:r>
        <w:rPr>
          <w:rFonts w:ascii="Georgia" w:hAnsi="Georgia" w:cs="Arial"/>
          <w:i/>
          <w:sz w:val="22"/>
          <w:szCs w:val="22"/>
        </w:rPr>
        <w:t>ondent leurs appréciations sur les informations qu'il est possible de recueillir sur l'élève.</w:t>
      </w:r>
    </w:p>
    <w:p>
      <w:pPr>
        <w:spacing w:line="360" w:lineRule="auto"/>
        <w:jc w:val="both"/>
        <w:rPr>
          <w:rFonts w:ascii="Georgia" w:hAnsi="Georgia" w:cs="Arial"/>
          <w:i/>
          <w:sz w:val="22"/>
          <w:szCs w:val="22"/>
        </w:rPr>
      </w:pPr>
    </w:p>
    <w:p>
      <w:pPr>
        <w:spacing w:line="360" w:lineRule="auto"/>
        <w:jc w:val="both"/>
        <w:rPr>
          <w:rFonts w:ascii="Georgia" w:hAnsi="Georgia" w:cs="Arial"/>
          <w:i/>
          <w:sz w:val="22"/>
          <w:szCs w:val="22"/>
        </w:rPr>
      </w:pPr>
      <w:r>
        <w:rPr>
          <w:rFonts w:ascii="Georgia" w:hAnsi="Georgia" w:cs="Arial"/>
          <w:i/>
          <w:sz w:val="22"/>
          <w:szCs w:val="22"/>
        </w:rPr>
        <w:t xml:space="preserve">Selon les cas, ces informations peuvent concerner : </w:t>
      </w:r>
    </w:p>
    <w:p>
      <w:pPr>
        <w:numPr>
          <w:ilvl w:val="0"/>
          <w:numId w:val="44"/>
        </w:numPr>
        <w:spacing w:line="360" w:lineRule="auto"/>
        <w:jc w:val="both"/>
        <w:rPr>
          <w:rFonts w:ascii="Georgia" w:hAnsi="Georgia" w:cs="Arial"/>
          <w:i/>
          <w:sz w:val="22"/>
          <w:szCs w:val="22"/>
        </w:rPr>
      </w:pPr>
      <w:r>
        <w:rPr>
          <w:rFonts w:ascii="Georgia" w:hAnsi="Georgia" w:cs="Arial"/>
          <w:i/>
          <w:sz w:val="22"/>
          <w:szCs w:val="22"/>
        </w:rPr>
        <w:t xml:space="preserve">les études antérieures, </w:t>
      </w:r>
    </w:p>
    <w:p>
      <w:pPr>
        <w:numPr>
          <w:ilvl w:val="0"/>
          <w:numId w:val="44"/>
        </w:numPr>
        <w:spacing w:line="360" w:lineRule="auto"/>
        <w:jc w:val="both"/>
        <w:rPr>
          <w:rFonts w:ascii="Georgia" w:hAnsi="Georgia" w:cs="Arial"/>
          <w:i/>
          <w:sz w:val="22"/>
          <w:szCs w:val="22"/>
        </w:rPr>
      </w:pPr>
      <w:r>
        <w:rPr>
          <w:rFonts w:ascii="Georgia" w:hAnsi="Georgia" w:cs="Arial"/>
          <w:i/>
          <w:sz w:val="22"/>
          <w:szCs w:val="22"/>
        </w:rPr>
        <w:t>des résultats d'épreuves organisées par des professeurs, </w:t>
      </w:r>
    </w:p>
    <w:p>
      <w:pPr>
        <w:numPr>
          <w:ilvl w:val="0"/>
          <w:numId w:val="44"/>
        </w:numPr>
        <w:spacing w:line="360" w:lineRule="auto"/>
        <w:jc w:val="both"/>
        <w:rPr>
          <w:rFonts w:ascii="Georgia" w:hAnsi="Georgia" w:cs="Arial"/>
          <w:i/>
          <w:sz w:val="22"/>
          <w:szCs w:val="22"/>
        </w:rPr>
      </w:pPr>
      <w:r>
        <w:rPr>
          <w:rFonts w:ascii="Georgia" w:hAnsi="Georgia" w:cs="Arial"/>
          <w:i/>
          <w:sz w:val="22"/>
          <w:szCs w:val="22"/>
        </w:rPr>
        <w:t xml:space="preserve">des éléments contenus dans le dossier scolaire ou communiqués par le centre psycho-médico-social, </w:t>
      </w:r>
    </w:p>
    <w:p>
      <w:pPr>
        <w:numPr>
          <w:ilvl w:val="0"/>
          <w:numId w:val="44"/>
        </w:numPr>
        <w:spacing w:line="360" w:lineRule="auto"/>
        <w:jc w:val="both"/>
        <w:rPr>
          <w:rFonts w:ascii="Georgia" w:hAnsi="Georgia" w:cs="Arial"/>
          <w:i/>
          <w:sz w:val="22"/>
          <w:szCs w:val="22"/>
        </w:rPr>
      </w:pPr>
      <w:r>
        <w:rPr>
          <w:rFonts w:ascii="Georgia" w:hAnsi="Georgia" w:cs="Arial"/>
          <w:i/>
          <w:sz w:val="22"/>
          <w:szCs w:val="22"/>
        </w:rPr>
        <w:t xml:space="preserve">des entretiens éventuels avec l'élève et les parents, </w:t>
      </w:r>
    </w:p>
    <w:p>
      <w:pPr>
        <w:numPr>
          <w:ilvl w:val="0"/>
          <w:numId w:val="44"/>
        </w:numPr>
        <w:spacing w:line="360" w:lineRule="auto"/>
        <w:jc w:val="both"/>
        <w:rPr>
          <w:rFonts w:ascii="Georgia" w:hAnsi="Georgia" w:cs="Arial"/>
          <w:i/>
          <w:sz w:val="22"/>
          <w:szCs w:val="22"/>
        </w:rPr>
      </w:pPr>
      <w:r>
        <w:rPr>
          <w:rFonts w:ascii="Georgia" w:hAnsi="Georgia" w:cs="Arial"/>
          <w:i/>
          <w:sz w:val="22"/>
          <w:szCs w:val="22"/>
        </w:rPr>
        <w:t>les résultats d’épreuves de qualification. »</w:t>
      </w:r>
    </w:p>
    <w:p>
      <w:pPr>
        <w:numPr>
          <w:ilvl w:val="0"/>
          <w:numId w:val="6"/>
        </w:numPr>
        <w:spacing w:line="360" w:lineRule="auto"/>
        <w:jc w:val="both"/>
        <w:rPr>
          <w:rFonts w:ascii="Georgia" w:hAnsi="Georgia" w:cs="Arial"/>
          <w:sz w:val="22"/>
          <w:szCs w:val="22"/>
        </w:rPr>
      </w:pPr>
      <w:r>
        <w:rPr>
          <w:rFonts w:ascii="Georgia" w:hAnsi="Georgia" w:cs="Arial"/>
          <w:caps/>
          <w:sz w:val="22"/>
          <w:szCs w:val="22"/>
          <w:u w:val="single"/>
        </w:rPr>
        <w:lastRenderedPageBreak/>
        <w:t>JURY DE QUALIFICATION</w:t>
      </w:r>
    </w:p>
    <w:p>
      <w:pPr>
        <w:spacing w:line="360" w:lineRule="auto"/>
        <w:jc w:val="both"/>
        <w:rPr>
          <w:rFonts w:ascii="Georgia" w:hAnsi="Georgia" w:cs="Arial"/>
          <w:i/>
          <w:sz w:val="22"/>
          <w:szCs w:val="22"/>
        </w:rPr>
      </w:pPr>
    </w:p>
    <w:p>
      <w:pPr>
        <w:spacing w:line="360" w:lineRule="auto"/>
        <w:jc w:val="both"/>
        <w:rPr>
          <w:rFonts w:ascii="Georgia" w:hAnsi="Georgia" w:cs="Arial"/>
          <w:sz w:val="22"/>
          <w:szCs w:val="22"/>
        </w:rPr>
      </w:pPr>
      <w:r>
        <w:rPr>
          <w:rFonts w:ascii="Georgia" w:hAnsi="Georgia" w:cs="Arial"/>
          <w:sz w:val="22"/>
          <w:szCs w:val="22"/>
        </w:rPr>
        <w:t xml:space="preserve">L'article 21ter, §4 de l'Arrêté Royal du 29 juin 1984 relatif à l'organisation de l'enseignement secondaire stipule que le jury de qualification </w:t>
      </w:r>
      <w:r>
        <w:rPr>
          <w:rFonts w:ascii="Georgia" w:hAnsi="Georgia" w:cs="Arial"/>
          <w:b/>
          <w:sz w:val="22"/>
          <w:szCs w:val="22"/>
        </w:rPr>
        <w:t> </w:t>
      </w:r>
      <w:r>
        <w:rPr>
          <w:rFonts w:ascii="Georgia" w:hAnsi="Georgia" w:cs="Arial"/>
          <w:i/>
          <w:sz w:val="22"/>
          <w:szCs w:val="22"/>
        </w:rPr>
        <w:t>fonde ses appréciations sur les informations qu'il est possible de recueillir sur l'élève.</w:t>
      </w:r>
    </w:p>
    <w:p>
      <w:pPr>
        <w:spacing w:line="360" w:lineRule="auto"/>
        <w:jc w:val="both"/>
        <w:rPr>
          <w:rFonts w:ascii="Georgia" w:hAnsi="Georgia" w:cs="Arial"/>
          <w:i/>
          <w:sz w:val="22"/>
          <w:szCs w:val="22"/>
        </w:rPr>
      </w:pPr>
    </w:p>
    <w:p>
      <w:pPr>
        <w:spacing w:line="360" w:lineRule="auto"/>
        <w:jc w:val="both"/>
        <w:rPr>
          <w:rFonts w:ascii="Georgia" w:hAnsi="Georgia" w:cs="Arial"/>
          <w:i/>
          <w:sz w:val="22"/>
          <w:szCs w:val="22"/>
        </w:rPr>
      </w:pPr>
      <w:r>
        <w:rPr>
          <w:rFonts w:ascii="Georgia" w:hAnsi="Georgia" w:cs="Arial"/>
          <w:i/>
          <w:sz w:val="22"/>
          <w:szCs w:val="22"/>
        </w:rPr>
        <w:t xml:space="preserve">Selon les cas, ces informations peuvent concerner : </w:t>
      </w:r>
    </w:p>
    <w:p>
      <w:pPr>
        <w:numPr>
          <w:ilvl w:val="0"/>
          <w:numId w:val="44"/>
        </w:numPr>
        <w:spacing w:line="360" w:lineRule="auto"/>
        <w:jc w:val="both"/>
        <w:rPr>
          <w:rFonts w:ascii="Georgia" w:hAnsi="Georgia" w:cs="Arial"/>
          <w:i/>
          <w:sz w:val="22"/>
          <w:szCs w:val="22"/>
        </w:rPr>
      </w:pPr>
      <w:r>
        <w:rPr>
          <w:rFonts w:ascii="Georgia" w:hAnsi="Georgia" w:cs="Arial"/>
          <w:i/>
          <w:sz w:val="22"/>
          <w:szCs w:val="22"/>
        </w:rPr>
        <w:t>les résultats des épreuves de qualification,</w:t>
      </w:r>
    </w:p>
    <w:p>
      <w:pPr>
        <w:numPr>
          <w:ilvl w:val="0"/>
          <w:numId w:val="44"/>
        </w:numPr>
        <w:spacing w:line="360" w:lineRule="auto"/>
        <w:jc w:val="both"/>
        <w:rPr>
          <w:rFonts w:ascii="Georgia" w:hAnsi="Georgia" w:cs="Arial"/>
          <w:i/>
          <w:sz w:val="22"/>
          <w:szCs w:val="22"/>
          <w:lang w:val="fr-BE"/>
        </w:rPr>
      </w:pPr>
      <w:r>
        <w:rPr>
          <w:rFonts w:ascii="Georgia" w:hAnsi="Georgia" w:cs="Arial"/>
          <w:i/>
          <w:sz w:val="22"/>
          <w:szCs w:val="22"/>
          <w:lang w:val="fr-BE"/>
        </w:rPr>
        <w:t xml:space="preserve">les résultats obtenus par les élèves qui ont participé à des épreuves organisées par les secteurs professionnels dans le cadre de conventions conclues avec les services de la Communauté française ou </w:t>
      </w:r>
      <w:proofErr w:type="spellStart"/>
      <w:r>
        <w:rPr>
          <w:rFonts w:ascii="Georgia" w:hAnsi="Georgia" w:cs="Arial"/>
          <w:i/>
          <w:sz w:val="22"/>
          <w:szCs w:val="22"/>
          <w:lang w:val="fr-BE"/>
        </w:rPr>
        <w:t>co</w:t>
      </w:r>
      <w:proofErr w:type="spellEnd"/>
      <w:r>
        <w:rPr>
          <w:rFonts w:ascii="Georgia" w:hAnsi="Georgia" w:cs="Arial"/>
          <w:i/>
          <w:sz w:val="22"/>
          <w:szCs w:val="22"/>
          <w:lang w:val="fr-BE"/>
        </w:rPr>
        <w:t>-organisées par la Communauté française et les secteurs professionnels.</w:t>
      </w:r>
    </w:p>
    <w:p>
      <w:pPr>
        <w:numPr>
          <w:ilvl w:val="0"/>
          <w:numId w:val="44"/>
        </w:numPr>
        <w:spacing w:line="360" w:lineRule="auto"/>
        <w:jc w:val="both"/>
        <w:rPr>
          <w:rFonts w:ascii="Georgia" w:hAnsi="Georgia" w:cs="Arial"/>
          <w:caps/>
          <w:sz w:val="22"/>
          <w:szCs w:val="22"/>
        </w:rPr>
      </w:pPr>
      <w:r>
        <w:rPr>
          <w:rFonts w:ascii="Georgia" w:hAnsi="Georgia" w:cs="Arial"/>
          <w:i/>
          <w:sz w:val="22"/>
          <w:szCs w:val="22"/>
        </w:rPr>
        <w:t xml:space="preserve"> les informations collectées lors des stages,</w:t>
      </w:r>
    </w:p>
    <w:p>
      <w:pPr>
        <w:numPr>
          <w:ilvl w:val="0"/>
          <w:numId w:val="44"/>
        </w:numPr>
        <w:spacing w:line="360" w:lineRule="auto"/>
        <w:jc w:val="both"/>
        <w:rPr>
          <w:rFonts w:ascii="Georgia" w:hAnsi="Georgia" w:cs="Arial"/>
          <w:caps/>
          <w:sz w:val="22"/>
          <w:szCs w:val="22"/>
        </w:rPr>
      </w:pPr>
      <w:r>
        <w:rPr>
          <w:rFonts w:ascii="Georgia" w:hAnsi="Georgia" w:cs="Arial"/>
          <w:i/>
          <w:sz w:val="22"/>
          <w:szCs w:val="22"/>
        </w:rPr>
        <w:t>dans le régime de la CPU, d’autres éléments contenus dans le dossier d’apprentissage CPU visé à l’article 2, 17° peuvent intervenir»</w:t>
      </w:r>
      <w:r>
        <w:rPr>
          <w:rFonts w:ascii="Georgia" w:hAnsi="Georgia" w:cs="Arial"/>
          <w:caps/>
          <w:sz w:val="22"/>
          <w:szCs w:val="22"/>
        </w:rPr>
        <w:t>.</w:t>
      </w:r>
    </w:p>
    <w:p>
      <w:pPr>
        <w:spacing w:line="360" w:lineRule="auto"/>
        <w:jc w:val="both"/>
        <w:rPr>
          <w:rFonts w:ascii="Georgia" w:hAnsi="Georgia" w:cs="Arial"/>
          <w:i/>
          <w:sz w:val="22"/>
          <w:szCs w:val="22"/>
        </w:rPr>
      </w:pPr>
    </w:p>
    <w:p>
      <w:pPr>
        <w:numPr>
          <w:ilvl w:val="0"/>
          <w:numId w:val="6"/>
        </w:numPr>
        <w:spacing w:line="360" w:lineRule="auto"/>
        <w:jc w:val="both"/>
        <w:rPr>
          <w:rFonts w:ascii="Georgia" w:hAnsi="Georgia" w:cs="Arial"/>
          <w:sz w:val="22"/>
          <w:szCs w:val="22"/>
        </w:rPr>
      </w:pPr>
      <w:r>
        <w:rPr>
          <w:rFonts w:ascii="Georgia" w:hAnsi="Georgia" w:cs="Arial"/>
          <w:caps/>
          <w:sz w:val="22"/>
          <w:szCs w:val="22"/>
          <w:u w:val="single"/>
        </w:rPr>
        <w:t>Communication des résultats, rencontres avec les parents</w:t>
      </w:r>
    </w:p>
    <w:p>
      <w:pPr>
        <w:spacing w:line="360" w:lineRule="auto"/>
        <w:jc w:val="both"/>
        <w:rPr>
          <w:rFonts w:ascii="Georgia" w:hAnsi="Georgia" w:cs="Arial"/>
          <w:b/>
          <w:sz w:val="22"/>
          <w:szCs w:val="22"/>
        </w:rPr>
      </w:pPr>
    </w:p>
    <w:p>
      <w:pPr>
        <w:spacing w:line="360" w:lineRule="auto"/>
        <w:jc w:val="both"/>
        <w:rPr>
          <w:rFonts w:ascii="Georgia" w:hAnsi="Georgia" w:cs="Arial"/>
          <w:sz w:val="22"/>
          <w:szCs w:val="22"/>
        </w:rPr>
      </w:pPr>
      <w:r>
        <w:rPr>
          <w:rFonts w:ascii="Georgia" w:hAnsi="Georgia" w:cs="Arial"/>
          <w:sz w:val="22"/>
          <w:szCs w:val="22"/>
        </w:rPr>
        <w:t>Nous rappelons le rôle que jouent la communication des résultats et les rencontres avec les parents dans la prévention des contestations des décisions des conseils de classe et des jurys de qualification. Par conséquent, il est opportun de prévoir des plages horaires d'une durée permettant à l'élève ou aux parents de rencontrer les enseignants.</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 xml:space="preserve">Le Décret du 24 juillet 1997 précité prévoit en son article 96 que, lors de ces rencontres, l’élève ou les parents doivent pouvoir consulter les épreuves qui ont fondé la décision du Conseil de classe. </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L'élève ou les parents peuvent aussi, sur demande écrite adressée au Chef d'établissement, obtenir, à prix coûtant, copie de toute épreuve constituant le fondement ou une partie du fondement de la décision du Conseil de classe, dans le respect des dispositions du Décret du 22 décembre 1994 relatif à la publicité de l'administration.</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 xml:space="preserve">Ni l'élève majeur, ni les parents ou la personne investie de l'autorité parentale de l'élève mineur ne peuvent consulter les épreuves d'un autre élève ni en obtenir une copie. </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 xml:space="preserve">Il convient, évidemment, de ne pas limiter le contenu de cette rencontre à un exercice formel de ce droit de consultation, mais de communiquer à l’élève ou aux parents toute information utile à la compréhension des résultats obtenus et de la décision prise en conséquence. </w:t>
      </w:r>
    </w:p>
    <w:p>
      <w:pPr>
        <w:spacing w:line="360" w:lineRule="auto"/>
        <w:ind w:left="-360"/>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Si après avoir reçu ces informations, l’élève ou les parents contestent la décision du Conseil de classe ou du Jury de qualification, ils ont la possibilité d’introduire une demande de conciliation interne en toute connaissance de cause.</w:t>
      </w:r>
    </w:p>
    <w:p>
      <w:pPr>
        <w:spacing w:line="360" w:lineRule="auto"/>
        <w:jc w:val="both"/>
        <w:rPr>
          <w:rFonts w:ascii="Georgia" w:hAnsi="Georgia" w:cs="Arial"/>
          <w:caps/>
          <w:sz w:val="22"/>
          <w:szCs w:val="22"/>
        </w:rPr>
      </w:pPr>
    </w:p>
    <w:p>
      <w:pPr>
        <w:numPr>
          <w:ilvl w:val="0"/>
          <w:numId w:val="6"/>
        </w:numPr>
        <w:spacing w:line="360" w:lineRule="auto"/>
        <w:jc w:val="both"/>
        <w:rPr>
          <w:rFonts w:ascii="Georgia" w:hAnsi="Georgia" w:cs="Arial"/>
          <w:sz w:val="22"/>
          <w:szCs w:val="22"/>
        </w:rPr>
      </w:pPr>
      <w:r>
        <w:rPr>
          <w:rFonts w:ascii="Georgia" w:hAnsi="Georgia" w:cs="Arial"/>
          <w:caps/>
          <w:sz w:val="22"/>
          <w:szCs w:val="22"/>
          <w:u w:val="single"/>
        </w:rPr>
        <w:t>Conseils généraux</w:t>
      </w:r>
    </w:p>
    <w:p>
      <w:pPr>
        <w:spacing w:line="360" w:lineRule="auto"/>
        <w:jc w:val="both"/>
        <w:rPr>
          <w:rFonts w:ascii="Georgia" w:hAnsi="Georgia" w:cs="Arial"/>
          <w:caps/>
          <w:sz w:val="22"/>
          <w:szCs w:val="22"/>
          <w:u w:val="single"/>
        </w:rPr>
      </w:pPr>
    </w:p>
    <w:p>
      <w:pPr>
        <w:spacing w:line="360" w:lineRule="auto"/>
        <w:jc w:val="both"/>
        <w:rPr>
          <w:rFonts w:ascii="Georgia" w:hAnsi="Georgia" w:cs="Arial"/>
          <w:sz w:val="22"/>
          <w:szCs w:val="22"/>
        </w:rPr>
      </w:pPr>
      <w:r>
        <w:rPr>
          <w:rFonts w:ascii="Georgia" w:hAnsi="Georgia" w:cs="Arial"/>
          <w:sz w:val="22"/>
          <w:szCs w:val="22"/>
        </w:rPr>
        <w:t>Il est conseillé également de ne pas modifier le règlement des études en cours d’année scolaire au risque d’engendrer la confusion dans l’esprit des parents ou de l’élève sur certains points de la réglementation.</w:t>
      </w:r>
    </w:p>
    <w:p>
      <w:pPr>
        <w:spacing w:line="360" w:lineRule="auto"/>
        <w:ind w:left="360"/>
        <w:jc w:val="both"/>
        <w:rPr>
          <w:rFonts w:ascii="Georgia" w:hAnsi="Georgia" w:cs="Arial"/>
          <w:sz w:val="22"/>
          <w:szCs w:val="22"/>
        </w:rPr>
      </w:pPr>
    </w:p>
    <w:p>
      <w:pPr>
        <w:numPr>
          <w:ilvl w:val="0"/>
          <w:numId w:val="41"/>
        </w:numPr>
        <w:tabs>
          <w:tab w:val="clear" w:pos="720"/>
          <w:tab w:val="num" w:pos="0"/>
        </w:tabs>
        <w:spacing w:line="360" w:lineRule="auto"/>
        <w:ind w:left="0" w:firstLine="0"/>
        <w:jc w:val="both"/>
        <w:rPr>
          <w:rFonts w:ascii="Georgia" w:hAnsi="Georgia" w:cs="Arial"/>
          <w:b/>
          <w:sz w:val="28"/>
          <w:szCs w:val="28"/>
          <w:u w:val="single"/>
        </w:rPr>
      </w:pPr>
      <w:r>
        <w:rPr>
          <w:rFonts w:ascii="Georgia" w:hAnsi="Georgia" w:cs="Arial"/>
          <w:b/>
          <w:sz w:val="28"/>
          <w:szCs w:val="28"/>
          <w:u w:val="single"/>
        </w:rPr>
        <w:t>Motivation des décisions des conseils de classe et des jurys de qualification</w:t>
      </w:r>
    </w:p>
    <w:p>
      <w:pPr>
        <w:spacing w:line="360" w:lineRule="auto"/>
        <w:jc w:val="both"/>
        <w:rPr>
          <w:rFonts w:ascii="Georgia" w:hAnsi="Georgia" w:cs="Arial"/>
          <w:b/>
          <w:sz w:val="28"/>
          <w:szCs w:val="28"/>
          <w:u w:val="single"/>
        </w:rPr>
      </w:pPr>
    </w:p>
    <w:p>
      <w:pPr>
        <w:numPr>
          <w:ilvl w:val="1"/>
          <w:numId w:val="43"/>
        </w:numPr>
        <w:spacing w:line="360" w:lineRule="auto"/>
        <w:jc w:val="both"/>
        <w:rPr>
          <w:rFonts w:ascii="Georgia" w:hAnsi="Georgia" w:cs="Arial"/>
          <w:smallCaps/>
          <w:sz w:val="22"/>
          <w:szCs w:val="22"/>
          <w:u w:val="single"/>
        </w:rPr>
      </w:pPr>
      <w:r>
        <w:rPr>
          <w:rFonts w:ascii="Georgia" w:hAnsi="Georgia" w:cs="Arial"/>
          <w:smallCaps/>
          <w:sz w:val="22"/>
          <w:szCs w:val="22"/>
          <w:u w:val="single"/>
        </w:rPr>
        <w:t>Introduction</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Les décisions prises par les Conseils de classe et les Jurys de qualification sont des actes administratifs au sens de l’article 1</w:t>
      </w:r>
      <w:r>
        <w:rPr>
          <w:rFonts w:ascii="Georgia" w:hAnsi="Georgia" w:cs="Arial"/>
          <w:sz w:val="22"/>
          <w:szCs w:val="22"/>
          <w:vertAlign w:val="superscript"/>
        </w:rPr>
        <w:t>er</w:t>
      </w:r>
      <w:r>
        <w:rPr>
          <w:rFonts w:ascii="Georgia" w:hAnsi="Georgia" w:cs="Arial"/>
          <w:sz w:val="22"/>
          <w:szCs w:val="22"/>
        </w:rPr>
        <w:t xml:space="preserve"> de la loi du 29 juillet 1991 relative à la motivation des actes administratifs. Ces décisions doivent donc être motivées. </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La motivation exigée par l’article 3 de cette loi "</w:t>
      </w:r>
      <w:r>
        <w:rPr>
          <w:rFonts w:ascii="Georgia" w:hAnsi="Georgia" w:cs="Arial"/>
          <w:i/>
          <w:sz w:val="22"/>
          <w:szCs w:val="22"/>
        </w:rPr>
        <w:t>consiste en l’indication, dans l’acte, des considérations de droit et de fait servant de fondement à la décision</w:t>
      </w:r>
      <w:r>
        <w:rPr>
          <w:rFonts w:ascii="Georgia" w:hAnsi="Georgia" w:cs="Arial"/>
          <w:sz w:val="22"/>
          <w:szCs w:val="22"/>
        </w:rPr>
        <w:t>".</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Pour rappel :</w:t>
      </w:r>
    </w:p>
    <w:p>
      <w:pPr>
        <w:spacing w:line="360" w:lineRule="auto"/>
        <w:jc w:val="both"/>
        <w:rPr>
          <w:rFonts w:ascii="Georgia" w:hAnsi="Georgia" w:cs="Arial"/>
          <w:sz w:val="22"/>
          <w:szCs w:val="22"/>
        </w:rPr>
      </w:pPr>
    </w:p>
    <w:p>
      <w:pPr>
        <w:numPr>
          <w:ilvl w:val="0"/>
          <w:numId w:val="5"/>
        </w:numPr>
        <w:spacing w:line="360" w:lineRule="auto"/>
        <w:jc w:val="both"/>
        <w:rPr>
          <w:rFonts w:ascii="Georgia" w:hAnsi="Georgia" w:cs="Arial"/>
          <w:sz w:val="22"/>
          <w:szCs w:val="22"/>
        </w:rPr>
      </w:pPr>
      <w:r>
        <w:rPr>
          <w:rFonts w:ascii="Georgia" w:hAnsi="Georgia" w:cs="Arial"/>
          <w:sz w:val="22"/>
          <w:szCs w:val="22"/>
        </w:rPr>
        <w:t>La motivation doit apparaître dans l’acte même.</w:t>
      </w:r>
    </w:p>
    <w:p>
      <w:pPr>
        <w:numPr>
          <w:ilvl w:val="0"/>
          <w:numId w:val="5"/>
        </w:numPr>
        <w:spacing w:line="360" w:lineRule="auto"/>
        <w:jc w:val="both"/>
        <w:rPr>
          <w:rFonts w:ascii="Georgia" w:hAnsi="Georgia" w:cs="Arial"/>
          <w:sz w:val="22"/>
          <w:szCs w:val="22"/>
        </w:rPr>
      </w:pPr>
      <w:r>
        <w:rPr>
          <w:rFonts w:ascii="Georgia" w:hAnsi="Georgia" w:cs="Arial"/>
          <w:sz w:val="22"/>
          <w:szCs w:val="22"/>
        </w:rPr>
        <w:t>La motivation implique une référence aux faits et aux règles juridiques appliquées. D’une part, la décision doit formuler de manière concrète les circonstances de fait qui ont conduit le Conseil de classe à se prononcer dans un sens ou dans un autre ; d’autre part, l’acte doit énoncer la législation appliquée.</w:t>
      </w:r>
    </w:p>
    <w:p>
      <w:pPr>
        <w:numPr>
          <w:ilvl w:val="0"/>
          <w:numId w:val="5"/>
        </w:numPr>
        <w:spacing w:line="360" w:lineRule="auto"/>
        <w:jc w:val="both"/>
        <w:rPr>
          <w:rFonts w:ascii="Georgia" w:hAnsi="Georgia" w:cs="Arial"/>
          <w:sz w:val="22"/>
          <w:szCs w:val="22"/>
        </w:rPr>
      </w:pPr>
      <w:r>
        <w:rPr>
          <w:rFonts w:ascii="Georgia" w:hAnsi="Georgia" w:cs="Arial"/>
          <w:sz w:val="22"/>
          <w:szCs w:val="22"/>
        </w:rPr>
        <w:t>La motivation doit être adéquate. Il ne peut s’agir de formules vagues, stéréotypées ou de clauses de style.</w:t>
      </w:r>
    </w:p>
    <w:p>
      <w:pPr>
        <w:numPr>
          <w:ilvl w:val="0"/>
          <w:numId w:val="5"/>
        </w:numPr>
        <w:spacing w:line="360" w:lineRule="auto"/>
        <w:jc w:val="both"/>
        <w:rPr>
          <w:rFonts w:ascii="Georgia" w:hAnsi="Georgia" w:cs="Arial"/>
          <w:sz w:val="22"/>
          <w:szCs w:val="22"/>
        </w:rPr>
      </w:pPr>
      <w:r>
        <w:rPr>
          <w:rFonts w:ascii="Georgia" w:hAnsi="Georgia" w:cs="Arial"/>
          <w:sz w:val="22"/>
          <w:szCs w:val="22"/>
        </w:rPr>
        <w:t xml:space="preserve">Elle doit également être proportionnelle, en ce sens qu’elle doit démontrer que le Conseil de classe a pris sa décision sur base d'éléments pertinents. </w:t>
      </w:r>
    </w:p>
    <w:p>
      <w:pPr>
        <w:numPr>
          <w:ilvl w:val="0"/>
          <w:numId w:val="5"/>
        </w:numPr>
        <w:spacing w:line="360" w:lineRule="auto"/>
        <w:jc w:val="both"/>
        <w:rPr>
          <w:rFonts w:ascii="Georgia" w:hAnsi="Georgia" w:cs="Arial"/>
          <w:sz w:val="22"/>
          <w:szCs w:val="22"/>
        </w:rPr>
      </w:pPr>
      <w:r>
        <w:rPr>
          <w:rFonts w:ascii="Georgia" w:hAnsi="Georgia" w:cs="Arial"/>
          <w:sz w:val="22"/>
          <w:szCs w:val="22"/>
        </w:rPr>
        <w:t>La motivation doit être pertinente, c'est-à-dire qu’elle doit manifestement avoir trait à la décision.</w:t>
      </w:r>
    </w:p>
    <w:p>
      <w:pPr>
        <w:spacing w:line="360" w:lineRule="auto"/>
        <w:ind w:left="720"/>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 xml:space="preserve">Il est utile d'insister sur l’importance de la motivation de toute décision d’un Conseil de classe ou d’un Jury de qualification et sur le respect des instructions contenues dans la présente circulaire. La motivation permet en effet aux élèves et à leurs parents de bien comprendre les raisons pédagogiques qui justifient les décisions du Conseil de classe ou du Jury de qualification et est de nature à réduire le nombre des demandes de conciliation interne et les recours externes. </w:t>
      </w:r>
    </w:p>
    <w:p>
      <w:pPr>
        <w:spacing w:line="360" w:lineRule="auto"/>
        <w:jc w:val="both"/>
        <w:rPr>
          <w:rFonts w:ascii="Georgia" w:hAnsi="Georgia" w:cs="Arial"/>
          <w:sz w:val="22"/>
          <w:szCs w:val="22"/>
        </w:rPr>
      </w:pPr>
    </w:p>
    <w:p>
      <w:pPr>
        <w:numPr>
          <w:ilvl w:val="1"/>
          <w:numId w:val="43"/>
        </w:numPr>
        <w:spacing w:line="360" w:lineRule="auto"/>
        <w:jc w:val="both"/>
        <w:rPr>
          <w:rFonts w:ascii="Georgia" w:hAnsi="Georgia" w:cs="Arial"/>
          <w:smallCaps/>
          <w:sz w:val="22"/>
          <w:szCs w:val="22"/>
          <w:u w:val="single"/>
        </w:rPr>
      </w:pPr>
      <w:r>
        <w:rPr>
          <w:rFonts w:ascii="Georgia" w:hAnsi="Georgia" w:cs="Arial"/>
          <w:smallCaps/>
          <w:sz w:val="22"/>
          <w:szCs w:val="22"/>
          <w:u w:val="single"/>
        </w:rPr>
        <w:t>Motivations au terme de chaque année du premier degré</w:t>
      </w:r>
    </w:p>
    <w:p>
      <w:pPr>
        <w:spacing w:line="360" w:lineRule="auto"/>
        <w:ind w:left="360"/>
        <w:jc w:val="both"/>
        <w:rPr>
          <w:rFonts w:ascii="Georgia" w:hAnsi="Georgia" w:cs="Arial"/>
          <w:smallCaps/>
          <w:sz w:val="22"/>
          <w:szCs w:val="22"/>
          <w:u w:val="single"/>
        </w:rPr>
      </w:pPr>
    </w:p>
    <w:p>
      <w:pPr>
        <w:autoSpaceDE w:val="0"/>
        <w:autoSpaceDN w:val="0"/>
        <w:adjustRightInd w:val="0"/>
        <w:spacing w:line="360" w:lineRule="auto"/>
        <w:jc w:val="both"/>
        <w:rPr>
          <w:rFonts w:ascii="Georgia" w:hAnsi="Georgia" w:cs="Arial"/>
          <w:sz w:val="22"/>
          <w:szCs w:val="22"/>
        </w:rPr>
      </w:pPr>
      <w:r>
        <w:rPr>
          <w:rFonts w:ascii="Georgia" w:hAnsi="Georgia" w:cs="Arial"/>
          <w:sz w:val="22"/>
          <w:szCs w:val="22"/>
        </w:rPr>
        <w:t xml:space="preserve">Au terme de chaque année du premier degré de l'enseignement secondaire, le Conseil de classe élabore pour chaque élève régulier un </w:t>
      </w:r>
      <w:r>
        <w:rPr>
          <w:rFonts w:ascii="Georgia" w:hAnsi="Georgia" w:cs="Arial"/>
          <w:b/>
          <w:sz w:val="22"/>
          <w:szCs w:val="22"/>
        </w:rPr>
        <w:t>rapport sur les compétences</w:t>
      </w:r>
      <w:r>
        <w:rPr>
          <w:rFonts w:ascii="Georgia" w:hAnsi="Georgia" w:cs="Arial"/>
          <w:sz w:val="22"/>
          <w:szCs w:val="22"/>
        </w:rPr>
        <w:t xml:space="preserve"> acquises au regard des socles de compétences visées à la fin de la troisième étape du continuum pédagogique et, éventuellement, aux compétences visées à la fin de la deuxième étape du continuum pédagogique. </w:t>
      </w:r>
    </w:p>
    <w:p>
      <w:pPr>
        <w:autoSpaceDE w:val="0"/>
        <w:autoSpaceDN w:val="0"/>
        <w:adjustRightInd w:val="0"/>
        <w:spacing w:line="360" w:lineRule="auto"/>
        <w:jc w:val="both"/>
        <w:rPr>
          <w:rFonts w:ascii="Georgia" w:hAnsi="Georgia" w:cs="Arial"/>
          <w:sz w:val="22"/>
          <w:szCs w:val="22"/>
        </w:rPr>
      </w:pPr>
    </w:p>
    <w:p>
      <w:pPr>
        <w:autoSpaceDE w:val="0"/>
        <w:autoSpaceDN w:val="0"/>
        <w:adjustRightInd w:val="0"/>
        <w:spacing w:line="360" w:lineRule="auto"/>
        <w:jc w:val="both"/>
        <w:rPr>
          <w:rFonts w:ascii="Georgia" w:hAnsi="Georgia" w:cs="Arial"/>
          <w:bCs/>
          <w:sz w:val="22"/>
          <w:szCs w:val="22"/>
        </w:rPr>
      </w:pPr>
      <w:r>
        <w:rPr>
          <w:rFonts w:ascii="Georgia" w:hAnsi="Georgia" w:cs="Arial"/>
          <w:b/>
          <w:bCs/>
          <w:sz w:val="22"/>
          <w:szCs w:val="22"/>
        </w:rPr>
        <w:t>C</w:t>
      </w:r>
      <w:r>
        <w:rPr>
          <w:rFonts w:ascii="Georgia" w:hAnsi="Georgia" w:cs="Arial"/>
          <w:b/>
          <w:sz w:val="22"/>
          <w:szCs w:val="22"/>
        </w:rPr>
        <w:t>e rapport de compétences tient lieu de motivation des décisions prises par le Conseil de classe</w:t>
      </w:r>
      <w:r>
        <w:rPr>
          <w:rStyle w:val="Appelnotedebasdep"/>
          <w:rFonts w:ascii="Georgia" w:hAnsi="Georgia" w:cs="Arial"/>
          <w:sz w:val="22"/>
          <w:szCs w:val="22"/>
        </w:rPr>
        <w:footnoteReference w:id="2"/>
      </w:r>
      <w:r>
        <w:rPr>
          <w:rFonts w:ascii="Georgia" w:hAnsi="Georgia" w:cs="Arial"/>
          <w:sz w:val="22"/>
          <w:szCs w:val="22"/>
        </w:rPr>
        <w:t>. Copie de ce rapport sera remise à l'élève ou aux parents</w:t>
      </w:r>
      <w:r>
        <w:rPr>
          <w:rFonts w:ascii="Georgia" w:hAnsi="Georgia" w:cs="Arial"/>
          <w:bCs/>
          <w:sz w:val="22"/>
          <w:szCs w:val="22"/>
        </w:rPr>
        <w:t>.</w:t>
      </w:r>
    </w:p>
    <w:p>
      <w:pPr>
        <w:autoSpaceDE w:val="0"/>
        <w:autoSpaceDN w:val="0"/>
        <w:adjustRightInd w:val="0"/>
        <w:spacing w:line="360" w:lineRule="auto"/>
        <w:jc w:val="both"/>
        <w:rPr>
          <w:rFonts w:ascii="Georgia" w:hAnsi="Georgia" w:cs="Arial"/>
          <w:b/>
          <w:sz w:val="22"/>
          <w:szCs w:val="22"/>
        </w:rPr>
      </w:pPr>
    </w:p>
    <w:p>
      <w:pPr>
        <w:numPr>
          <w:ilvl w:val="1"/>
          <w:numId w:val="43"/>
        </w:numPr>
        <w:spacing w:line="360" w:lineRule="auto"/>
        <w:jc w:val="both"/>
        <w:rPr>
          <w:rFonts w:ascii="Georgia" w:hAnsi="Georgia" w:cs="Arial"/>
          <w:smallCaps/>
          <w:sz w:val="22"/>
          <w:szCs w:val="22"/>
          <w:u w:val="single"/>
        </w:rPr>
      </w:pPr>
      <w:r>
        <w:rPr>
          <w:rFonts w:ascii="Georgia" w:hAnsi="Georgia" w:cs="Arial"/>
          <w:smallCaps/>
          <w:sz w:val="22"/>
          <w:szCs w:val="22"/>
          <w:u w:val="single"/>
        </w:rPr>
        <w:t xml:space="preserve">Motivations au terme de chaque année des deuxième, troisième et quatrième </w:t>
      </w:r>
      <w:proofErr w:type="spellStart"/>
      <w:r>
        <w:rPr>
          <w:rFonts w:ascii="Georgia" w:hAnsi="Georgia" w:cs="Arial"/>
          <w:smallCaps/>
          <w:sz w:val="22"/>
          <w:szCs w:val="22"/>
          <w:u w:val="single"/>
        </w:rPr>
        <w:t>degres</w:t>
      </w:r>
      <w:proofErr w:type="spellEnd"/>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 xml:space="preserve">Au terme de chaque année du deuxième, du troisième et du quatrième degré de l'enseignement secondaire, l’article 96 du décret du 24 juillet 1997 prévoit la communication à l’élève ou aux parents, de la motivation précise d’une décision d’échec ou de réussite avec restriction prise par le Conseil de classe ou d’un refus d’octroi du certificat de qualification pris par le Jury de qualification. </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 xml:space="preserve">Cette motivation est fournie par écrit si l’élève ou les parents en font la demande expresse. </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En cas de recours, le Conseil de recours examinera la motivation du Conseil de classe.</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 xml:space="preserve">En vue d'aider le Chef d'établissement à construire </w:t>
      </w:r>
      <w:r>
        <w:rPr>
          <w:rFonts w:ascii="Georgia" w:hAnsi="Georgia" w:cs="Arial"/>
          <w:sz w:val="22"/>
          <w:szCs w:val="22"/>
          <w:lang w:val="fr-BE"/>
        </w:rPr>
        <w:t xml:space="preserve">une motivation répondant aux prescriptions de la </w:t>
      </w:r>
      <w:r>
        <w:rPr>
          <w:rFonts w:ascii="Georgia" w:hAnsi="Georgia" w:cs="Arial"/>
          <w:sz w:val="22"/>
          <w:szCs w:val="22"/>
        </w:rPr>
        <w:t>loi du 29 juillet 1991, et ceci afin de permettre une bonne compréhension de la décision par l’élève ou les parents, il est utile que les mentions suivantes soient reprises dans le document qui leur est délivré :</w:t>
      </w:r>
    </w:p>
    <w:p>
      <w:pPr>
        <w:spacing w:line="360" w:lineRule="auto"/>
        <w:jc w:val="both"/>
        <w:rPr>
          <w:rFonts w:ascii="Georgia" w:hAnsi="Georgia" w:cs="Arial"/>
          <w:sz w:val="22"/>
          <w:szCs w:val="22"/>
          <w:lang w:val="fr-BE"/>
        </w:rPr>
      </w:pPr>
    </w:p>
    <w:p>
      <w:pPr>
        <w:numPr>
          <w:ilvl w:val="0"/>
          <w:numId w:val="27"/>
        </w:numPr>
        <w:spacing w:line="360" w:lineRule="auto"/>
        <w:jc w:val="both"/>
        <w:rPr>
          <w:rFonts w:ascii="Georgia" w:hAnsi="Georgia" w:cs="Arial"/>
          <w:sz w:val="22"/>
          <w:szCs w:val="22"/>
          <w:lang w:val="fr-BE"/>
        </w:rPr>
      </w:pPr>
      <w:r>
        <w:rPr>
          <w:rFonts w:ascii="Georgia" w:hAnsi="Georgia" w:cs="Arial"/>
          <w:sz w:val="22"/>
          <w:szCs w:val="22"/>
          <w:lang w:val="fr-BE"/>
        </w:rPr>
        <w:t>la base légale ;</w:t>
      </w:r>
    </w:p>
    <w:p>
      <w:pPr>
        <w:numPr>
          <w:ilvl w:val="0"/>
          <w:numId w:val="27"/>
        </w:numPr>
        <w:spacing w:line="360" w:lineRule="auto"/>
        <w:rPr>
          <w:rFonts w:ascii="Georgia" w:hAnsi="Georgia" w:cs="Arial"/>
          <w:sz w:val="22"/>
          <w:szCs w:val="22"/>
          <w:lang w:val="fr-BE"/>
        </w:rPr>
      </w:pPr>
      <w:r>
        <w:rPr>
          <w:rFonts w:ascii="Georgia" w:hAnsi="Georgia" w:cs="Arial"/>
          <w:sz w:val="22"/>
          <w:szCs w:val="22"/>
          <w:lang w:val="fr-BE"/>
        </w:rPr>
        <w:t>les éléments factuels sur lesquels se fonde le Conseil de classe ou le Jury de qualification ;</w:t>
      </w:r>
    </w:p>
    <w:p>
      <w:pPr>
        <w:numPr>
          <w:ilvl w:val="0"/>
          <w:numId w:val="27"/>
        </w:numPr>
        <w:spacing w:line="360" w:lineRule="auto"/>
        <w:jc w:val="both"/>
        <w:rPr>
          <w:rFonts w:ascii="Georgia" w:hAnsi="Georgia" w:cs="Arial"/>
          <w:sz w:val="22"/>
          <w:szCs w:val="22"/>
          <w:lang w:val="fr-BE"/>
        </w:rPr>
      </w:pPr>
      <w:r>
        <w:rPr>
          <w:rFonts w:ascii="Georgia" w:hAnsi="Georgia" w:cs="Arial"/>
          <w:sz w:val="22"/>
          <w:szCs w:val="22"/>
          <w:lang w:val="fr-BE"/>
        </w:rPr>
        <w:t>les raisons qui expliquent et justifient la décision ;</w:t>
      </w:r>
    </w:p>
    <w:p>
      <w:pPr>
        <w:numPr>
          <w:ilvl w:val="0"/>
          <w:numId w:val="27"/>
        </w:numPr>
        <w:spacing w:line="360" w:lineRule="auto"/>
        <w:jc w:val="both"/>
        <w:rPr>
          <w:rFonts w:ascii="Georgia" w:hAnsi="Georgia" w:cs="Arial"/>
          <w:sz w:val="22"/>
          <w:szCs w:val="22"/>
          <w:lang w:val="fr-BE"/>
        </w:rPr>
      </w:pPr>
      <w:r>
        <w:rPr>
          <w:rFonts w:ascii="Georgia" w:hAnsi="Georgia" w:cs="Arial"/>
          <w:sz w:val="22"/>
          <w:szCs w:val="22"/>
          <w:lang w:val="fr-BE"/>
        </w:rPr>
        <w:t>la décision du Conseil de classe ou le Jury de qualification ;</w:t>
      </w:r>
    </w:p>
    <w:p>
      <w:pPr>
        <w:numPr>
          <w:ilvl w:val="0"/>
          <w:numId w:val="27"/>
        </w:numPr>
        <w:spacing w:line="360" w:lineRule="auto"/>
        <w:jc w:val="both"/>
        <w:rPr>
          <w:rFonts w:ascii="Georgia" w:hAnsi="Georgia" w:cs="Arial"/>
          <w:sz w:val="22"/>
          <w:szCs w:val="22"/>
          <w:lang w:val="fr-BE"/>
        </w:rPr>
      </w:pPr>
      <w:r>
        <w:rPr>
          <w:rFonts w:ascii="Georgia" w:hAnsi="Georgia" w:cs="Arial"/>
          <w:sz w:val="22"/>
          <w:szCs w:val="22"/>
          <w:lang w:val="fr-BE"/>
        </w:rPr>
        <w:t>les voies de recours.</w:t>
      </w:r>
    </w:p>
    <w:p>
      <w:pPr>
        <w:spacing w:line="360" w:lineRule="auto"/>
        <w:jc w:val="both"/>
        <w:rPr>
          <w:rFonts w:ascii="Georgia" w:hAnsi="Georgia" w:cs="Arial"/>
          <w:sz w:val="22"/>
          <w:szCs w:val="22"/>
          <w:lang w:val="fr-BE"/>
        </w:rPr>
      </w:pPr>
    </w:p>
    <w:p>
      <w:pPr>
        <w:numPr>
          <w:ilvl w:val="1"/>
          <w:numId w:val="43"/>
        </w:numPr>
        <w:spacing w:line="360" w:lineRule="auto"/>
        <w:jc w:val="both"/>
        <w:rPr>
          <w:rFonts w:ascii="Georgia" w:hAnsi="Georgia" w:cs="Arial"/>
          <w:smallCaps/>
          <w:sz w:val="22"/>
          <w:szCs w:val="22"/>
          <w:u w:val="single"/>
        </w:rPr>
      </w:pPr>
      <w:r>
        <w:rPr>
          <w:rFonts w:ascii="Georgia" w:hAnsi="Georgia" w:cs="Arial"/>
          <w:smallCaps/>
          <w:sz w:val="22"/>
          <w:szCs w:val="22"/>
          <w:u w:val="single"/>
        </w:rPr>
        <w:t>Exemples de motivation pour les deuxième, troisième et quatrième degrés</w:t>
      </w:r>
    </w:p>
    <w:p>
      <w:pPr>
        <w:spacing w:line="360" w:lineRule="auto"/>
        <w:jc w:val="both"/>
        <w:rPr>
          <w:rFonts w:ascii="Georgia" w:hAnsi="Georgia" w:cs="Arial"/>
          <w:sz w:val="22"/>
          <w:szCs w:val="22"/>
        </w:rPr>
      </w:pPr>
    </w:p>
    <w:p>
      <w:pPr>
        <w:spacing w:line="360" w:lineRule="auto"/>
        <w:jc w:val="both"/>
        <w:rPr>
          <w:rFonts w:ascii="Georgia" w:hAnsi="Georgia" w:cs="Arial"/>
          <w:sz w:val="22"/>
          <w:szCs w:val="22"/>
          <w:lang w:val="fr-BE"/>
        </w:rPr>
      </w:pPr>
      <w:r>
        <w:rPr>
          <w:rFonts w:ascii="Georgia" w:hAnsi="Georgia" w:cs="Arial"/>
          <w:sz w:val="22"/>
          <w:szCs w:val="22"/>
          <w:lang w:val="fr-BE"/>
        </w:rPr>
        <w:t xml:space="preserve">Vous trouverez ci-après, des </w:t>
      </w:r>
      <w:r>
        <w:rPr>
          <w:rFonts w:ascii="Georgia" w:hAnsi="Georgia" w:cs="Arial"/>
          <w:b/>
          <w:sz w:val="22"/>
          <w:szCs w:val="22"/>
          <w:lang w:val="fr-BE"/>
        </w:rPr>
        <w:t>propositions exemplatives de motivation</w:t>
      </w:r>
      <w:r>
        <w:rPr>
          <w:rFonts w:ascii="Georgia" w:hAnsi="Georgia" w:cs="Arial"/>
          <w:sz w:val="22"/>
          <w:szCs w:val="22"/>
          <w:lang w:val="fr-BE"/>
        </w:rPr>
        <w:t xml:space="preserve"> pouvant être utilisées dans les décisions des Conseils de classe (ayant lieu avant ou après une procédure de conciliation interne).</w:t>
      </w:r>
    </w:p>
    <w:p>
      <w:pPr>
        <w:spacing w:line="360" w:lineRule="auto"/>
        <w:jc w:val="both"/>
        <w:rPr>
          <w:rFonts w:ascii="Georgia" w:hAnsi="Georgia" w:cs="Arial"/>
          <w:b/>
          <w:sz w:val="22"/>
          <w:szCs w:val="22"/>
          <w:u w:val="single"/>
          <w:lang w:val="fr-BE"/>
        </w:rPr>
      </w:pPr>
    </w:p>
    <w:p>
      <w:pPr>
        <w:numPr>
          <w:ilvl w:val="1"/>
          <w:numId w:val="21"/>
        </w:numPr>
        <w:tabs>
          <w:tab w:val="clear" w:pos="2160"/>
          <w:tab w:val="num" w:pos="540"/>
        </w:tabs>
        <w:spacing w:line="360" w:lineRule="auto"/>
        <w:ind w:hanging="2160"/>
        <w:jc w:val="both"/>
        <w:rPr>
          <w:rFonts w:ascii="Georgia" w:hAnsi="Georgia" w:cs="Arial"/>
          <w:smallCaps/>
          <w:sz w:val="22"/>
          <w:szCs w:val="22"/>
          <w:u w:val="single"/>
        </w:rPr>
      </w:pPr>
      <w:r>
        <w:rPr>
          <w:rFonts w:ascii="Georgia" w:hAnsi="Georgia" w:cs="Arial"/>
          <w:smallCaps/>
          <w:sz w:val="22"/>
          <w:szCs w:val="22"/>
          <w:u w:val="single"/>
        </w:rPr>
        <w:t>Base légale</w:t>
      </w:r>
    </w:p>
    <w:p>
      <w:pPr>
        <w:spacing w:line="360" w:lineRule="auto"/>
        <w:ind w:left="1800"/>
        <w:jc w:val="both"/>
        <w:rPr>
          <w:rFonts w:ascii="Georgia" w:hAnsi="Georgia" w:cs="Arial"/>
          <w:b/>
          <w:smallCaps/>
          <w:sz w:val="22"/>
          <w:szCs w:val="22"/>
          <w:u w:val="single"/>
        </w:rPr>
      </w:pPr>
    </w:p>
    <w:p>
      <w:pPr>
        <w:spacing w:line="360" w:lineRule="auto"/>
        <w:jc w:val="both"/>
        <w:rPr>
          <w:rFonts w:ascii="Georgia" w:hAnsi="Georgia" w:cs="Arial"/>
          <w:sz w:val="22"/>
          <w:szCs w:val="22"/>
          <w:lang w:val="fr-BE"/>
        </w:rPr>
      </w:pPr>
      <w:r>
        <w:rPr>
          <w:rFonts w:ascii="Georgia" w:hAnsi="Georgia" w:cs="Arial"/>
          <w:sz w:val="22"/>
          <w:szCs w:val="22"/>
          <w:lang w:val="fr-BE"/>
        </w:rPr>
        <w:t>Voici les textes légaux qu'il convient de citer afin de rédiger une motivation adéquate :</w:t>
      </w:r>
    </w:p>
    <w:p>
      <w:pPr>
        <w:numPr>
          <w:ilvl w:val="0"/>
          <w:numId w:val="8"/>
        </w:numPr>
        <w:tabs>
          <w:tab w:val="num" w:pos="720"/>
        </w:tabs>
        <w:spacing w:line="360" w:lineRule="auto"/>
        <w:ind w:left="720"/>
        <w:jc w:val="both"/>
        <w:rPr>
          <w:rFonts w:ascii="Georgia" w:hAnsi="Georgia" w:cs="Arial"/>
          <w:sz w:val="22"/>
          <w:szCs w:val="22"/>
          <w:lang w:val="fr-BE"/>
        </w:rPr>
      </w:pPr>
      <w:r>
        <w:rPr>
          <w:rFonts w:ascii="Georgia" w:hAnsi="Georgia" w:cs="Arial"/>
          <w:sz w:val="22"/>
          <w:szCs w:val="22"/>
          <w:lang w:val="fr-BE"/>
        </w:rPr>
        <w:t xml:space="preserve">Pour les deuxième, troisième et quatrième degrés: </w:t>
      </w:r>
    </w:p>
    <w:p>
      <w:pPr>
        <w:numPr>
          <w:ilvl w:val="1"/>
          <w:numId w:val="36"/>
        </w:numPr>
        <w:spacing w:line="360" w:lineRule="auto"/>
        <w:jc w:val="both"/>
        <w:rPr>
          <w:rFonts w:ascii="Georgia" w:hAnsi="Georgia" w:cs="Arial"/>
          <w:sz w:val="22"/>
          <w:szCs w:val="22"/>
          <w:lang w:val="fr-BE"/>
        </w:rPr>
      </w:pPr>
      <w:r>
        <w:rPr>
          <w:rFonts w:ascii="Georgia" w:hAnsi="Georgia" w:cs="Arial"/>
          <w:sz w:val="22"/>
          <w:szCs w:val="22"/>
          <w:lang w:val="fr-BE"/>
        </w:rPr>
        <w:t>" Vu la Loi du 19 juillet 1971 relative à la structure générale et à l'organisation de l'enseignement secondaire"</w:t>
      </w:r>
    </w:p>
    <w:p>
      <w:pPr>
        <w:numPr>
          <w:ilvl w:val="1"/>
          <w:numId w:val="36"/>
        </w:numPr>
        <w:spacing w:line="360" w:lineRule="auto"/>
        <w:jc w:val="both"/>
        <w:rPr>
          <w:rFonts w:ascii="Georgia" w:hAnsi="Georgia" w:cs="Arial"/>
          <w:sz w:val="22"/>
          <w:szCs w:val="22"/>
          <w:lang w:val="fr-BE"/>
        </w:rPr>
      </w:pPr>
      <w:r>
        <w:rPr>
          <w:rFonts w:ascii="Georgia" w:hAnsi="Georgia" w:cs="Arial"/>
          <w:sz w:val="22"/>
          <w:szCs w:val="22"/>
          <w:lang w:val="fr-BE"/>
        </w:rPr>
        <w:t>"Vu le Décret du 24 juillet 1997 tel que modifié définissant les missions prioritaires de l’enseignement fondamental et de l’enseignement secondaire et organisant les structures propres à les atteindre"</w:t>
      </w:r>
    </w:p>
    <w:p>
      <w:pPr>
        <w:numPr>
          <w:ilvl w:val="1"/>
          <w:numId w:val="36"/>
        </w:numPr>
        <w:spacing w:line="360" w:lineRule="auto"/>
        <w:jc w:val="both"/>
        <w:rPr>
          <w:rFonts w:ascii="Georgia" w:hAnsi="Georgia" w:cs="Arial"/>
          <w:sz w:val="22"/>
          <w:szCs w:val="22"/>
          <w:lang w:val="fr-BE"/>
        </w:rPr>
      </w:pPr>
      <w:r>
        <w:rPr>
          <w:rFonts w:ascii="Georgia" w:hAnsi="Georgia" w:cs="Arial"/>
          <w:sz w:val="22"/>
          <w:szCs w:val="22"/>
          <w:lang w:val="fr-BE"/>
        </w:rPr>
        <w:t>"Vu l'Arrêté royal du 29 juin 1984 relatif à l'organisation de l'enseignement secondaire"</w:t>
      </w:r>
    </w:p>
    <w:p>
      <w:pPr>
        <w:numPr>
          <w:ilvl w:val="1"/>
          <w:numId w:val="36"/>
        </w:numPr>
        <w:spacing w:line="360" w:lineRule="auto"/>
        <w:jc w:val="both"/>
        <w:rPr>
          <w:rFonts w:ascii="Georgia" w:hAnsi="Georgia" w:cs="Arial"/>
          <w:sz w:val="22"/>
          <w:szCs w:val="22"/>
          <w:lang w:val="fr-BE"/>
        </w:rPr>
      </w:pPr>
      <w:r>
        <w:rPr>
          <w:rFonts w:ascii="Georgia" w:hAnsi="Georgia" w:cs="Arial"/>
          <w:sz w:val="22"/>
          <w:szCs w:val="22"/>
          <w:lang w:val="fr-BE"/>
        </w:rPr>
        <w:t>"Vu le règlement général des études"</w:t>
      </w:r>
    </w:p>
    <w:p>
      <w:pPr>
        <w:spacing w:line="360" w:lineRule="auto"/>
        <w:ind w:left="348" w:firstLine="708"/>
        <w:jc w:val="both"/>
        <w:rPr>
          <w:rFonts w:ascii="Georgia" w:hAnsi="Georgia" w:cs="Arial"/>
          <w:sz w:val="22"/>
          <w:szCs w:val="22"/>
          <w:lang w:val="fr-BE"/>
        </w:rPr>
      </w:pPr>
    </w:p>
    <w:p>
      <w:pPr>
        <w:numPr>
          <w:ilvl w:val="0"/>
          <w:numId w:val="8"/>
        </w:numPr>
        <w:tabs>
          <w:tab w:val="num" w:pos="720"/>
        </w:tabs>
        <w:spacing w:line="360" w:lineRule="auto"/>
        <w:ind w:left="720"/>
        <w:jc w:val="both"/>
        <w:rPr>
          <w:rFonts w:ascii="Georgia" w:hAnsi="Georgia" w:cs="Arial"/>
          <w:sz w:val="22"/>
          <w:szCs w:val="22"/>
          <w:lang w:val="fr-BE"/>
        </w:rPr>
      </w:pPr>
      <w:r>
        <w:rPr>
          <w:rFonts w:ascii="Georgia" w:hAnsi="Georgia" w:cs="Arial"/>
          <w:sz w:val="22"/>
          <w:szCs w:val="22"/>
          <w:lang w:val="fr-BE"/>
        </w:rPr>
        <w:t xml:space="preserve">Spécifiquement pour le quatrième degré : </w:t>
      </w:r>
    </w:p>
    <w:p>
      <w:pPr>
        <w:spacing w:line="360" w:lineRule="auto"/>
        <w:ind w:left="720"/>
        <w:jc w:val="both"/>
        <w:rPr>
          <w:rFonts w:ascii="Georgia" w:hAnsi="Georgia" w:cs="Arial"/>
          <w:sz w:val="22"/>
          <w:szCs w:val="22"/>
          <w:lang w:val="fr-BE"/>
        </w:rPr>
      </w:pPr>
    </w:p>
    <w:p>
      <w:pPr>
        <w:spacing w:line="360" w:lineRule="auto"/>
        <w:ind w:left="720"/>
        <w:jc w:val="both"/>
        <w:rPr>
          <w:rFonts w:ascii="Georgia" w:hAnsi="Georgia" w:cs="Arial"/>
          <w:sz w:val="22"/>
          <w:szCs w:val="22"/>
          <w:u w:val="single"/>
          <w:lang w:val="fr-BE"/>
        </w:rPr>
      </w:pPr>
      <w:r>
        <w:rPr>
          <w:rFonts w:ascii="Georgia" w:hAnsi="Georgia" w:cs="Arial"/>
          <w:sz w:val="22"/>
          <w:szCs w:val="22"/>
          <w:u w:val="single"/>
          <w:lang w:val="fr-BE"/>
        </w:rPr>
        <w:t xml:space="preserve">Pour </w:t>
      </w:r>
      <w:proofErr w:type="gramStart"/>
      <w:r>
        <w:rPr>
          <w:rFonts w:ascii="Georgia" w:hAnsi="Georgia" w:cs="Arial"/>
          <w:sz w:val="22"/>
          <w:szCs w:val="22"/>
          <w:u w:val="single"/>
          <w:lang w:val="fr-BE"/>
        </w:rPr>
        <w:t>la 1</w:t>
      </w:r>
      <w:r>
        <w:rPr>
          <w:rFonts w:ascii="Georgia" w:hAnsi="Georgia" w:cs="Arial"/>
          <w:sz w:val="22"/>
          <w:szCs w:val="22"/>
          <w:u w:val="single"/>
          <w:vertAlign w:val="superscript"/>
          <w:lang w:val="fr-BE"/>
        </w:rPr>
        <w:t>ère</w:t>
      </w:r>
      <w:r>
        <w:rPr>
          <w:rFonts w:ascii="Georgia" w:hAnsi="Georgia" w:cs="Arial"/>
          <w:sz w:val="22"/>
          <w:szCs w:val="22"/>
          <w:u w:val="single"/>
          <w:lang w:val="fr-BE"/>
        </w:rPr>
        <w:t xml:space="preserve"> et 2</w:t>
      </w:r>
      <w:r>
        <w:rPr>
          <w:rFonts w:ascii="Georgia" w:hAnsi="Georgia" w:cs="Arial"/>
          <w:sz w:val="22"/>
          <w:szCs w:val="22"/>
          <w:u w:val="single"/>
          <w:vertAlign w:val="superscript"/>
          <w:lang w:val="fr-BE"/>
        </w:rPr>
        <w:t>ème</w:t>
      </w:r>
      <w:r>
        <w:rPr>
          <w:rFonts w:ascii="Georgia" w:hAnsi="Georgia" w:cs="Arial"/>
          <w:sz w:val="22"/>
          <w:szCs w:val="22"/>
          <w:u w:val="single"/>
          <w:lang w:val="fr-BE"/>
        </w:rPr>
        <w:t xml:space="preserve"> années</w:t>
      </w:r>
      <w:proofErr w:type="gramEnd"/>
      <w:r>
        <w:rPr>
          <w:rFonts w:ascii="Georgia" w:hAnsi="Georgia" w:cs="Arial"/>
          <w:sz w:val="22"/>
          <w:szCs w:val="22"/>
          <w:u w:val="single"/>
          <w:lang w:val="fr-BE"/>
        </w:rPr>
        <w:t xml:space="preserve"> d’études</w:t>
      </w:r>
    </w:p>
    <w:p>
      <w:pPr>
        <w:pStyle w:val="Paragraphedeliste"/>
        <w:numPr>
          <w:ilvl w:val="0"/>
          <w:numId w:val="45"/>
        </w:numPr>
        <w:spacing w:line="360" w:lineRule="auto"/>
        <w:ind w:left="1560" w:hanging="284"/>
        <w:jc w:val="both"/>
        <w:rPr>
          <w:rFonts w:ascii="Georgia" w:hAnsi="Georgia" w:cs="Arial"/>
          <w:sz w:val="22"/>
          <w:szCs w:val="22"/>
          <w:lang w:val="fr-BE"/>
        </w:rPr>
      </w:pPr>
      <w:r>
        <w:rPr>
          <w:rFonts w:ascii="Georgia" w:hAnsi="Georgia" w:cs="Arial"/>
          <w:sz w:val="22"/>
          <w:szCs w:val="22"/>
          <w:lang w:val="fr-BE"/>
        </w:rPr>
        <w:t>"Vu le Décret du 11 mai 2017 relatif au quatrième degré de l’enseignement professionnel secondaire complémentaire, section soins infirmier"</w:t>
      </w:r>
    </w:p>
    <w:p>
      <w:pPr>
        <w:pStyle w:val="Paragraphedeliste"/>
        <w:spacing w:line="360" w:lineRule="auto"/>
        <w:ind w:left="1560" w:hanging="851"/>
        <w:jc w:val="both"/>
        <w:rPr>
          <w:rFonts w:ascii="Georgia" w:hAnsi="Georgia" w:cs="Arial"/>
          <w:sz w:val="22"/>
          <w:szCs w:val="22"/>
          <w:u w:val="single"/>
          <w:lang w:val="fr-BE"/>
        </w:rPr>
      </w:pPr>
    </w:p>
    <w:p>
      <w:pPr>
        <w:pStyle w:val="Paragraphedeliste"/>
        <w:spacing w:line="360" w:lineRule="auto"/>
        <w:ind w:left="1560" w:hanging="851"/>
        <w:jc w:val="both"/>
        <w:rPr>
          <w:rFonts w:ascii="Georgia" w:hAnsi="Georgia" w:cs="Arial"/>
          <w:sz w:val="22"/>
          <w:szCs w:val="22"/>
          <w:lang w:val="fr-BE"/>
        </w:rPr>
      </w:pPr>
      <w:r>
        <w:rPr>
          <w:rFonts w:ascii="Georgia" w:hAnsi="Georgia" w:cs="Arial"/>
          <w:sz w:val="22"/>
          <w:szCs w:val="22"/>
          <w:u w:val="single"/>
          <w:lang w:val="fr-BE"/>
        </w:rPr>
        <w:t>Pour la 3</w:t>
      </w:r>
      <w:r>
        <w:rPr>
          <w:rFonts w:ascii="Georgia" w:hAnsi="Georgia" w:cs="Arial"/>
          <w:sz w:val="22"/>
          <w:szCs w:val="22"/>
          <w:u w:val="single"/>
          <w:vertAlign w:val="superscript"/>
          <w:lang w:val="fr-BE"/>
        </w:rPr>
        <w:t>ème</w:t>
      </w:r>
      <w:r>
        <w:rPr>
          <w:rFonts w:ascii="Georgia" w:hAnsi="Georgia" w:cs="Arial"/>
          <w:sz w:val="22"/>
          <w:szCs w:val="22"/>
          <w:u w:val="single"/>
          <w:lang w:val="fr-BE"/>
        </w:rPr>
        <w:t xml:space="preserve"> année d’études</w:t>
      </w:r>
    </w:p>
    <w:p>
      <w:pPr>
        <w:pStyle w:val="Paragraphedeliste"/>
        <w:numPr>
          <w:ilvl w:val="0"/>
          <w:numId w:val="45"/>
        </w:numPr>
        <w:spacing w:line="360" w:lineRule="auto"/>
        <w:ind w:hanging="524"/>
        <w:jc w:val="both"/>
        <w:rPr>
          <w:rFonts w:ascii="Georgia" w:hAnsi="Georgia" w:cs="Arial"/>
          <w:bCs/>
          <w:sz w:val="22"/>
          <w:szCs w:val="22"/>
        </w:rPr>
      </w:pPr>
      <w:r>
        <w:rPr>
          <w:rFonts w:ascii="Georgia" w:hAnsi="Georgia" w:cs="Arial"/>
          <w:sz w:val="22"/>
          <w:szCs w:val="22"/>
          <w:lang w:val="fr-BE"/>
        </w:rPr>
        <w:t xml:space="preserve">"Vu </w:t>
      </w:r>
      <w:r>
        <w:rPr>
          <w:rFonts w:ascii="Georgia" w:hAnsi="Georgia" w:cs="Arial"/>
          <w:sz w:val="22"/>
          <w:szCs w:val="22"/>
        </w:rPr>
        <w:t>l’Arrêté du Gouvernement de la Communauté française du 06/03/1995 fixant les conditions de collation du brevet d’infirmier(ère) hospitalier(ère)</w:t>
      </w:r>
      <w:r>
        <w:rPr>
          <w:rFonts w:ascii="Georgia" w:hAnsi="Georgia" w:cs="Arial"/>
          <w:bCs/>
          <w:sz w:val="22"/>
          <w:szCs w:val="22"/>
        </w:rPr>
        <w:t xml:space="preserve"> et d'infirmier(ère) hospitalier(ère) -Orientation santé mentale et psychiatrie"</w:t>
      </w:r>
    </w:p>
    <w:p>
      <w:pPr>
        <w:spacing w:line="360" w:lineRule="auto"/>
        <w:jc w:val="both"/>
        <w:rPr>
          <w:rFonts w:ascii="Georgia" w:hAnsi="Georgia" w:cs="Arial"/>
          <w:bCs/>
          <w:sz w:val="22"/>
          <w:szCs w:val="22"/>
        </w:rPr>
      </w:pPr>
    </w:p>
    <w:p>
      <w:pPr>
        <w:numPr>
          <w:ilvl w:val="1"/>
          <w:numId w:val="21"/>
        </w:numPr>
        <w:tabs>
          <w:tab w:val="clear" w:pos="2160"/>
          <w:tab w:val="num" w:pos="540"/>
        </w:tabs>
        <w:spacing w:line="360" w:lineRule="auto"/>
        <w:ind w:hanging="2160"/>
        <w:jc w:val="both"/>
        <w:rPr>
          <w:rFonts w:ascii="Georgia" w:hAnsi="Georgia" w:cs="Arial"/>
          <w:smallCaps/>
          <w:sz w:val="22"/>
          <w:szCs w:val="22"/>
          <w:u w:val="single"/>
        </w:rPr>
      </w:pPr>
      <w:r>
        <w:rPr>
          <w:rFonts w:ascii="Georgia" w:hAnsi="Georgia" w:cs="Arial"/>
          <w:smallCaps/>
          <w:sz w:val="22"/>
          <w:szCs w:val="22"/>
          <w:u w:val="single"/>
        </w:rPr>
        <w:t>Éléments factuels</w:t>
      </w:r>
    </w:p>
    <w:p>
      <w:pPr>
        <w:spacing w:line="360" w:lineRule="auto"/>
        <w:jc w:val="both"/>
        <w:rPr>
          <w:rFonts w:ascii="Georgia" w:hAnsi="Georgia" w:cs="Arial"/>
          <w:b/>
          <w:sz w:val="22"/>
          <w:szCs w:val="22"/>
          <w:u w:val="single"/>
          <w:lang w:val="fr-BE"/>
        </w:rPr>
      </w:pPr>
    </w:p>
    <w:p>
      <w:pPr>
        <w:spacing w:line="360" w:lineRule="auto"/>
        <w:ind w:left="360"/>
        <w:jc w:val="both"/>
        <w:rPr>
          <w:rFonts w:ascii="Georgia" w:hAnsi="Georgia" w:cs="Arial"/>
          <w:sz w:val="22"/>
          <w:szCs w:val="22"/>
        </w:rPr>
      </w:pPr>
      <w:r>
        <w:rPr>
          <w:rFonts w:ascii="Georgia" w:hAnsi="Georgia" w:cs="Arial"/>
          <w:sz w:val="22"/>
          <w:szCs w:val="22"/>
          <w:lang w:val="fr-BE"/>
        </w:rPr>
        <w:t xml:space="preserve">Il convient d’éviter d'utiliser, autant que possible, les formulations de style : "trop d'échecs". </w:t>
      </w:r>
    </w:p>
    <w:p>
      <w:pPr>
        <w:spacing w:line="360" w:lineRule="auto"/>
        <w:ind w:left="360"/>
        <w:jc w:val="both"/>
        <w:rPr>
          <w:rFonts w:ascii="Georgia" w:hAnsi="Georgia" w:cs="Arial"/>
          <w:sz w:val="22"/>
          <w:szCs w:val="22"/>
          <w:lang w:val="fr-BE"/>
        </w:rPr>
      </w:pPr>
    </w:p>
    <w:p>
      <w:pPr>
        <w:spacing w:line="360" w:lineRule="auto"/>
        <w:ind w:left="360"/>
        <w:jc w:val="both"/>
        <w:rPr>
          <w:rFonts w:ascii="Georgia" w:hAnsi="Georgia" w:cs="Arial"/>
          <w:b/>
          <w:sz w:val="22"/>
          <w:szCs w:val="22"/>
          <w:lang w:val="fr-BE"/>
        </w:rPr>
      </w:pPr>
      <w:r>
        <w:rPr>
          <w:rFonts w:ascii="Georgia" w:hAnsi="Georgia" w:cs="Arial"/>
          <w:sz w:val="22"/>
          <w:szCs w:val="22"/>
          <w:lang w:val="fr-BE"/>
        </w:rPr>
        <w:t xml:space="preserve">Les propositions ci-dessous peuvent être combinées et, dans ce cas, doivent être adaptées au cas de chaque élève. </w:t>
      </w:r>
      <w:r>
        <w:rPr>
          <w:rFonts w:ascii="Georgia" w:hAnsi="Georgia" w:cs="Arial"/>
          <w:b/>
          <w:sz w:val="22"/>
          <w:szCs w:val="22"/>
          <w:lang w:val="fr-BE"/>
        </w:rPr>
        <w:t>Cette liste n'est ni exhaustive, ni impérative.</w:t>
      </w:r>
    </w:p>
    <w:p>
      <w:pPr>
        <w:spacing w:line="360" w:lineRule="auto"/>
        <w:ind w:left="360"/>
        <w:jc w:val="both"/>
        <w:rPr>
          <w:rFonts w:ascii="Georgia" w:hAnsi="Georgia" w:cs="Arial"/>
          <w:sz w:val="22"/>
          <w:szCs w:val="22"/>
          <w:lang w:val="fr-BE"/>
        </w:rPr>
      </w:pPr>
    </w:p>
    <w:p>
      <w:pPr>
        <w:spacing w:line="360" w:lineRule="auto"/>
        <w:ind w:left="360"/>
        <w:jc w:val="both"/>
        <w:rPr>
          <w:rFonts w:ascii="Georgia" w:hAnsi="Georgia" w:cs="Arial"/>
          <w:sz w:val="22"/>
          <w:szCs w:val="22"/>
          <w:lang w:val="fr-BE"/>
        </w:rPr>
      </w:pPr>
      <w:r>
        <w:rPr>
          <w:rFonts w:ascii="Georgia" w:hAnsi="Georgia" w:cs="Arial"/>
          <w:sz w:val="22"/>
          <w:szCs w:val="22"/>
          <w:lang w:val="fr-BE"/>
        </w:rPr>
        <w:t>"Considérant</w:t>
      </w:r>
    </w:p>
    <w:p>
      <w:pPr>
        <w:numPr>
          <w:ilvl w:val="0"/>
          <w:numId w:val="8"/>
        </w:numPr>
        <w:tabs>
          <w:tab w:val="clear" w:pos="1080"/>
          <w:tab w:val="num" w:pos="1440"/>
        </w:tabs>
        <w:spacing w:line="360" w:lineRule="auto"/>
        <w:ind w:left="1440"/>
        <w:jc w:val="both"/>
        <w:rPr>
          <w:rFonts w:ascii="Georgia" w:hAnsi="Georgia" w:cs="Arial"/>
          <w:sz w:val="22"/>
          <w:szCs w:val="22"/>
          <w:lang w:val="fr-BE"/>
        </w:rPr>
      </w:pPr>
      <w:r>
        <w:rPr>
          <w:rFonts w:ascii="Georgia" w:hAnsi="Georgia" w:cs="Arial"/>
          <w:sz w:val="22"/>
          <w:szCs w:val="22"/>
          <w:lang w:val="fr-BE"/>
        </w:rPr>
        <w:t>la faiblesse générale des résultats de l’élève</w:t>
      </w:r>
    </w:p>
    <w:p>
      <w:pPr>
        <w:numPr>
          <w:ilvl w:val="0"/>
          <w:numId w:val="8"/>
        </w:numPr>
        <w:tabs>
          <w:tab w:val="clear" w:pos="1080"/>
          <w:tab w:val="num" w:pos="1440"/>
        </w:tabs>
        <w:spacing w:line="360" w:lineRule="auto"/>
        <w:ind w:left="1440"/>
        <w:jc w:val="both"/>
        <w:rPr>
          <w:rFonts w:ascii="Georgia" w:hAnsi="Georgia" w:cs="Arial"/>
          <w:sz w:val="22"/>
          <w:szCs w:val="22"/>
          <w:lang w:val="fr-BE"/>
        </w:rPr>
      </w:pPr>
      <w:r>
        <w:rPr>
          <w:rFonts w:ascii="Georgia" w:hAnsi="Georgia" w:cs="Arial"/>
          <w:sz w:val="22"/>
          <w:szCs w:val="22"/>
          <w:lang w:val="fr-BE"/>
        </w:rPr>
        <w:t>les nombreux échecs  en ……………………………….. maintenus en deuxième session </w:t>
      </w:r>
    </w:p>
    <w:p>
      <w:pPr>
        <w:numPr>
          <w:ilvl w:val="0"/>
          <w:numId w:val="8"/>
        </w:numPr>
        <w:tabs>
          <w:tab w:val="clear" w:pos="1080"/>
          <w:tab w:val="num" w:pos="1440"/>
        </w:tabs>
        <w:spacing w:line="360" w:lineRule="auto"/>
        <w:ind w:left="1440"/>
        <w:jc w:val="both"/>
        <w:rPr>
          <w:rFonts w:ascii="Georgia" w:hAnsi="Georgia" w:cs="Arial"/>
          <w:sz w:val="22"/>
          <w:szCs w:val="22"/>
          <w:lang w:val="fr-BE"/>
        </w:rPr>
      </w:pPr>
      <w:r>
        <w:rPr>
          <w:rFonts w:ascii="Georgia" w:hAnsi="Georgia" w:cs="Arial"/>
          <w:sz w:val="22"/>
          <w:szCs w:val="22"/>
          <w:lang w:val="fr-BE"/>
        </w:rPr>
        <w:t>les lacunes graves relevées en (option……………….heures) tout au long de l’année </w:t>
      </w:r>
    </w:p>
    <w:p>
      <w:pPr>
        <w:numPr>
          <w:ilvl w:val="0"/>
          <w:numId w:val="8"/>
        </w:numPr>
        <w:tabs>
          <w:tab w:val="clear" w:pos="1080"/>
          <w:tab w:val="num" w:pos="1440"/>
        </w:tabs>
        <w:spacing w:line="360" w:lineRule="auto"/>
        <w:ind w:left="1440"/>
        <w:jc w:val="both"/>
        <w:rPr>
          <w:rFonts w:ascii="Georgia" w:hAnsi="Georgia" w:cs="Arial"/>
          <w:sz w:val="22"/>
          <w:szCs w:val="22"/>
          <w:lang w:val="fr-BE"/>
        </w:rPr>
      </w:pPr>
      <w:r>
        <w:rPr>
          <w:rFonts w:ascii="Georgia" w:hAnsi="Georgia" w:cs="Arial"/>
          <w:sz w:val="22"/>
          <w:szCs w:val="22"/>
          <w:lang w:val="fr-BE"/>
        </w:rPr>
        <w:t>le nombre important d’échecs (…….) enregistrés par l’élève, certains d’entre eux pendant tout le degré</w:t>
      </w:r>
    </w:p>
    <w:p>
      <w:pPr>
        <w:numPr>
          <w:ilvl w:val="0"/>
          <w:numId w:val="8"/>
        </w:numPr>
        <w:tabs>
          <w:tab w:val="clear" w:pos="1080"/>
          <w:tab w:val="num" w:pos="1440"/>
        </w:tabs>
        <w:spacing w:line="360" w:lineRule="auto"/>
        <w:ind w:left="1440"/>
        <w:jc w:val="both"/>
        <w:rPr>
          <w:rFonts w:ascii="Georgia" w:hAnsi="Georgia" w:cs="Arial"/>
          <w:sz w:val="22"/>
          <w:szCs w:val="22"/>
          <w:lang w:val="fr-BE"/>
        </w:rPr>
      </w:pPr>
      <w:r>
        <w:rPr>
          <w:rFonts w:ascii="Georgia" w:hAnsi="Georgia" w:cs="Arial"/>
          <w:sz w:val="22"/>
          <w:szCs w:val="22"/>
          <w:lang w:val="fr-BE"/>
        </w:rPr>
        <w:t>que la moyenne globale de l’année est inférieure à 50 %</w:t>
      </w:r>
    </w:p>
    <w:p>
      <w:pPr>
        <w:numPr>
          <w:ilvl w:val="0"/>
          <w:numId w:val="8"/>
        </w:numPr>
        <w:tabs>
          <w:tab w:val="clear" w:pos="1080"/>
          <w:tab w:val="num" w:pos="1440"/>
        </w:tabs>
        <w:spacing w:line="360" w:lineRule="auto"/>
        <w:ind w:left="1440"/>
        <w:jc w:val="both"/>
        <w:rPr>
          <w:rFonts w:ascii="Georgia" w:hAnsi="Georgia" w:cs="Arial"/>
          <w:sz w:val="22"/>
          <w:szCs w:val="22"/>
          <w:lang w:val="fr-BE"/>
        </w:rPr>
      </w:pPr>
      <w:r>
        <w:rPr>
          <w:rFonts w:ascii="Georgia" w:hAnsi="Georgia" w:cs="Arial"/>
          <w:sz w:val="22"/>
          <w:szCs w:val="22"/>
          <w:lang w:val="fr-BE"/>
        </w:rPr>
        <w:t>que les lacunes marquées en juin en …………..</w:t>
      </w:r>
      <w:r>
        <w:rPr>
          <w:rFonts w:ascii="Georgia" w:hAnsi="Georgia" w:cs="Arial"/>
          <w:sz w:val="22"/>
          <w:szCs w:val="22"/>
        </w:rPr>
        <w:t xml:space="preserve"> n’ont  pas été </w:t>
      </w:r>
      <w:r>
        <w:rPr>
          <w:rFonts w:ascii="Georgia" w:hAnsi="Georgia" w:cs="Arial"/>
          <w:sz w:val="22"/>
          <w:szCs w:val="22"/>
          <w:lang w:val="fr-BE"/>
        </w:rPr>
        <w:t>comblées en septembre</w:t>
      </w:r>
    </w:p>
    <w:p>
      <w:pPr>
        <w:numPr>
          <w:ilvl w:val="0"/>
          <w:numId w:val="8"/>
        </w:numPr>
        <w:tabs>
          <w:tab w:val="clear" w:pos="1080"/>
          <w:tab w:val="num" w:pos="1440"/>
        </w:tabs>
        <w:spacing w:line="360" w:lineRule="auto"/>
        <w:ind w:left="1440"/>
        <w:jc w:val="both"/>
        <w:rPr>
          <w:rFonts w:ascii="Georgia" w:hAnsi="Georgia" w:cs="Arial"/>
          <w:sz w:val="22"/>
          <w:szCs w:val="22"/>
          <w:lang w:val="fr-BE"/>
        </w:rPr>
      </w:pPr>
      <w:r>
        <w:rPr>
          <w:rFonts w:ascii="Georgia" w:hAnsi="Georgia" w:cs="Arial"/>
          <w:sz w:val="22"/>
          <w:szCs w:val="22"/>
          <w:lang w:val="fr-BE"/>
        </w:rPr>
        <w:t>les compétences non acquises en ……………………….. comme le montre ………………….</w:t>
      </w:r>
    </w:p>
    <w:p>
      <w:pPr>
        <w:numPr>
          <w:ilvl w:val="0"/>
          <w:numId w:val="8"/>
        </w:numPr>
        <w:tabs>
          <w:tab w:val="clear" w:pos="1080"/>
          <w:tab w:val="num" w:pos="1440"/>
        </w:tabs>
        <w:spacing w:line="360" w:lineRule="auto"/>
        <w:ind w:left="1440"/>
        <w:jc w:val="both"/>
        <w:rPr>
          <w:rFonts w:ascii="Georgia" w:hAnsi="Georgia" w:cs="Arial"/>
          <w:sz w:val="22"/>
          <w:szCs w:val="22"/>
          <w:lang w:val="fr-BE"/>
        </w:rPr>
      </w:pPr>
      <w:r>
        <w:rPr>
          <w:rFonts w:ascii="Georgia" w:hAnsi="Georgia" w:cs="Arial"/>
          <w:sz w:val="22"/>
          <w:szCs w:val="22"/>
          <w:lang w:val="fr-BE"/>
        </w:rPr>
        <w:t>les lacunes importantes dans plusieurs branches de la formation commune : ……………………………………………..</w:t>
      </w:r>
    </w:p>
    <w:p>
      <w:pPr>
        <w:numPr>
          <w:ilvl w:val="0"/>
          <w:numId w:val="8"/>
        </w:numPr>
        <w:tabs>
          <w:tab w:val="clear" w:pos="1080"/>
          <w:tab w:val="num" w:pos="1440"/>
        </w:tabs>
        <w:spacing w:line="360" w:lineRule="auto"/>
        <w:ind w:left="1440"/>
        <w:jc w:val="both"/>
        <w:rPr>
          <w:rFonts w:ascii="Georgia" w:hAnsi="Georgia" w:cs="Arial"/>
          <w:sz w:val="22"/>
          <w:szCs w:val="22"/>
          <w:lang w:val="fr-BE"/>
        </w:rPr>
      </w:pPr>
      <w:r>
        <w:rPr>
          <w:rFonts w:ascii="Georgia" w:hAnsi="Georgia" w:cs="Arial"/>
          <w:sz w:val="22"/>
          <w:szCs w:val="22"/>
          <w:lang w:val="fr-BE"/>
        </w:rPr>
        <w:t>que l’évolution très négative des résultats de l’élève en cours d’année se confirme, lors de la seconde session, par un accroissement des lacunes et des échecs </w:t>
      </w:r>
    </w:p>
    <w:p>
      <w:pPr>
        <w:numPr>
          <w:ilvl w:val="0"/>
          <w:numId w:val="8"/>
        </w:numPr>
        <w:tabs>
          <w:tab w:val="clear" w:pos="1080"/>
          <w:tab w:val="num" w:pos="1440"/>
        </w:tabs>
        <w:spacing w:line="360" w:lineRule="auto"/>
        <w:ind w:left="1440"/>
        <w:jc w:val="both"/>
        <w:rPr>
          <w:rFonts w:ascii="Georgia" w:hAnsi="Georgia" w:cs="Arial"/>
          <w:sz w:val="22"/>
          <w:szCs w:val="22"/>
          <w:lang w:val="fr-BE"/>
        </w:rPr>
      </w:pPr>
      <w:r>
        <w:rPr>
          <w:rFonts w:ascii="Georgia" w:hAnsi="Georgia" w:cs="Arial"/>
          <w:sz w:val="22"/>
          <w:szCs w:val="22"/>
          <w:lang w:val="fr-BE"/>
        </w:rPr>
        <w:t>que les résultats obtenus par l’élève en juin ne permettent déjà pas d’envisager la poursuite des études dans l’année supérieure avec des chances de réussite (échecs en ………………………………………………….)"</w:t>
      </w:r>
    </w:p>
    <w:p>
      <w:pPr>
        <w:rPr>
          <w:rFonts w:ascii="Georgia" w:hAnsi="Georgia" w:cs="Arial"/>
          <w:b/>
          <w:smallCaps/>
          <w:sz w:val="22"/>
          <w:szCs w:val="22"/>
          <w:u w:val="single"/>
        </w:rPr>
      </w:pPr>
      <w:r>
        <w:rPr>
          <w:rFonts w:ascii="Georgia" w:hAnsi="Georgia" w:cs="Arial"/>
          <w:b/>
          <w:smallCaps/>
          <w:sz w:val="22"/>
          <w:szCs w:val="22"/>
          <w:u w:val="single"/>
        </w:rPr>
        <w:br w:type="page"/>
      </w:r>
    </w:p>
    <w:p>
      <w:pPr>
        <w:numPr>
          <w:ilvl w:val="1"/>
          <w:numId w:val="21"/>
        </w:numPr>
        <w:tabs>
          <w:tab w:val="clear" w:pos="2160"/>
          <w:tab w:val="num" w:pos="540"/>
        </w:tabs>
        <w:spacing w:line="360" w:lineRule="auto"/>
        <w:ind w:hanging="2160"/>
        <w:jc w:val="both"/>
        <w:rPr>
          <w:rFonts w:ascii="Georgia" w:hAnsi="Georgia" w:cs="Arial"/>
          <w:smallCaps/>
          <w:sz w:val="22"/>
          <w:szCs w:val="22"/>
          <w:u w:val="single"/>
        </w:rPr>
      </w:pPr>
      <w:r>
        <w:rPr>
          <w:rFonts w:ascii="Georgia" w:hAnsi="Georgia" w:cs="Arial"/>
          <w:smallCaps/>
          <w:sz w:val="22"/>
          <w:szCs w:val="22"/>
          <w:u w:val="single"/>
          <w:lang w:val="fr-BE"/>
        </w:rPr>
        <w:t>les raisons qui expliquent et justifient la décision</w:t>
      </w:r>
    </w:p>
    <w:p>
      <w:pPr>
        <w:spacing w:line="360" w:lineRule="auto"/>
        <w:ind w:left="720"/>
        <w:jc w:val="both"/>
        <w:rPr>
          <w:rFonts w:ascii="Georgia" w:hAnsi="Georgia" w:cs="Arial"/>
          <w:b/>
          <w:smallCaps/>
          <w:sz w:val="22"/>
          <w:szCs w:val="22"/>
          <w:u w:val="single"/>
        </w:rPr>
      </w:pPr>
    </w:p>
    <w:p>
      <w:pPr>
        <w:spacing w:line="360" w:lineRule="auto"/>
        <w:ind w:left="360"/>
        <w:jc w:val="both"/>
        <w:rPr>
          <w:rFonts w:ascii="Georgia" w:hAnsi="Georgia" w:cs="Arial"/>
          <w:sz w:val="22"/>
          <w:szCs w:val="22"/>
          <w:lang w:val="fr-BE"/>
        </w:rPr>
      </w:pPr>
      <w:r>
        <w:rPr>
          <w:rFonts w:ascii="Georgia" w:hAnsi="Georgia" w:cs="Arial"/>
          <w:sz w:val="22"/>
          <w:szCs w:val="22"/>
          <w:lang w:val="fr-BE"/>
        </w:rPr>
        <w:t>Il s'agit de mentionner les raisons pour lesquelles le Conseil de classe ou le Jury de qualification a, en se basant sur la réglementation et les éléments factuels, pris la décision concernée.</w:t>
      </w:r>
    </w:p>
    <w:p>
      <w:pPr>
        <w:spacing w:line="360" w:lineRule="auto"/>
        <w:jc w:val="both"/>
        <w:rPr>
          <w:rFonts w:ascii="Georgia" w:hAnsi="Georgia" w:cs="Arial"/>
          <w:sz w:val="22"/>
          <w:szCs w:val="22"/>
        </w:rPr>
      </w:pPr>
    </w:p>
    <w:p>
      <w:pPr>
        <w:spacing w:line="360" w:lineRule="auto"/>
        <w:ind w:left="360"/>
        <w:jc w:val="both"/>
        <w:rPr>
          <w:rFonts w:ascii="Georgia" w:hAnsi="Georgia" w:cs="Arial"/>
          <w:sz w:val="22"/>
          <w:szCs w:val="22"/>
        </w:rPr>
      </w:pPr>
      <w:r>
        <w:rPr>
          <w:rFonts w:ascii="Georgia" w:hAnsi="Georgia" w:cs="Arial"/>
          <w:sz w:val="22"/>
          <w:szCs w:val="22"/>
        </w:rPr>
        <w:t xml:space="preserve">Les disciplines distinctes qui composent la </w:t>
      </w:r>
      <w:r>
        <w:rPr>
          <w:rFonts w:ascii="Georgia" w:hAnsi="Georgia" w:cs="Arial"/>
          <w:b/>
          <w:sz w:val="22"/>
          <w:szCs w:val="22"/>
          <w:u w:val="single"/>
        </w:rPr>
        <w:t>formation scientifique</w:t>
      </w:r>
      <w:r>
        <w:rPr>
          <w:rFonts w:ascii="Georgia" w:hAnsi="Georgia" w:cs="Arial"/>
          <w:sz w:val="22"/>
          <w:szCs w:val="22"/>
        </w:rPr>
        <w:t xml:space="preserve"> (biologie, chimie, physique) peuvent être prises en compte par le Conseil de classe de façon globale ou individuelle dans le respect des programmes d’études fixés par le Gouvernement de la Communauté française pour l’enseignement qu’elle organise, ou définis par tout pouvoir organisateur ou le cas échéant par son organe de représentation et de coordination pour l’enseignement subventionné. </w:t>
      </w:r>
    </w:p>
    <w:p>
      <w:pPr>
        <w:spacing w:line="360" w:lineRule="auto"/>
        <w:ind w:left="360"/>
        <w:jc w:val="both"/>
        <w:rPr>
          <w:rFonts w:ascii="Georgia" w:hAnsi="Georgia" w:cs="Arial"/>
          <w:sz w:val="22"/>
          <w:szCs w:val="22"/>
          <w:lang w:val="fr-BE"/>
        </w:rPr>
      </w:pPr>
      <w:r>
        <w:rPr>
          <w:rFonts w:ascii="Georgia" w:hAnsi="Georgia" w:cs="Arial"/>
          <w:sz w:val="22"/>
          <w:szCs w:val="22"/>
        </w:rPr>
        <w:t>L’application de la cotation séparée pour les différentes disciplines composant le cours de Sciences doit être clairement indiquée dans le règlement des études de l’établissement scolaire</w:t>
      </w:r>
      <w:r>
        <w:rPr>
          <w:rStyle w:val="Appelnotedebasdep"/>
          <w:rFonts w:ascii="Georgia" w:hAnsi="Georgia" w:cs="Arial"/>
          <w:sz w:val="22"/>
          <w:szCs w:val="22"/>
        </w:rPr>
        <w:footnoteReference w:id="3"/>
      </w:r>
      <w:r>
        <w:rPr>
          <w:rFonts w:ascii="Georgia" w:hAnsi="Georgia" w:cs="Arial"/>
          <w:sz w:val="22"/>
          <w:szCs w:val="22"/>
        </w:rPr>
        <w:t xml:space="preserve"> </w:t>
      </w:r>
    </w:p>
    <w:p>
      <w:pPr>
        <w:spacing w:line="360" w:lineRule="auto"/>
        <w:ind w:left="360"/>
        <w:jc w:val="both"/>
        <w:rPr>
          <w:rFonts w:ascii="Georgia" w:hAnsi="Georgia" w:cs="Arial"/>
          <w:sz w:val="22"/>
          <w:szCs w:val="22"/>
          <w:lang w:val="fr-BE"/>
        </w:rPr>
      </w:pPr>
    </w:p>
    <w:p>
      <w:pPr>
        <w:spacing w:line="360" w:lineRule="auto"/>
        <w:ind w:left="360"/>
        <w:jc w:val="both"/>
        <w:rPr>
          <w:rFonts w:ascii="Georgia" w:hAnsi="Georgia" w:cs="Arial"/>
          <w:sz w:val="22"/>
          <w:szCs w:val="22"/>
          <w:lang w:val="fr-BE"/>
        </w:rPr>
      </w:pPr>
      <w:r>
        <w:rPr>
          <w:rFonts w:ascii="Georgia" w:hAnsi="Georgia" w:cs="Arial"/>
          <w:sz w:val="22"/>
          <w:szCs w:val="22"/>
          <w:lang w:val="fr-BE"/>
        </w:rPr>
        <w:t>Les formules ci-dessous mentionnent uniquement les cas où les compétences n'ont pas été acquises par l'élève puisqu'on vise ici principalement les attestations d'orientation B ou C, seules susceptibles de faire l'objet d'une demande auprès du Conseil de recours.</w:t>
      </w:r>
    </w:p>
    <w:p>
      <w:pPr>
        <w:spacing w:line="360" w:lineRule="auto"/>
        <w:ind w:left="360"/>
        <w:jc w:val="both"/>
        <w:rPr>
          <w:rFonts w:ascii="Georgia" w:hAnsi="Georgia" w:cs="Arial"/>
          <w:sz w:val="22"/>
          <w:szCs w:val="22"/>
          <w:lang w:val="fr-BE"/>
        </w:rPr>
      </w:pPr>
    </w:p>
    <w:p>
      <w:pPr>
        <w:spacing w:line="360" w:lineRule="auto"/>
        <w:ind w:left="360"/>
        <w:jc w:val="both"/>
        <w:rPr>
          <w:rFonts w:ascii="Georgia" w:hAnsi="Georgia" w:cs="Arial"/>
          <w:sz w:val="22"/>
          <w:szCs w:val="22"/>
          <w:lang w:val="fr-BE"/>
        </w:rPr>
      </w:pPr>
      <w:r>
        <w:rPr>
          <w:rFonts w:ascii="Georgia" w:hAnsi="Georgia" w:cs="Arial"/>
          <w:sz w:val="22"/>
          <w:szCs w:val="22"/>
          <w:lang w:val="fr-BE"/>
        </w:rPr>
        <w:t>Les éléments sont mentionnés en italique quand ils doivent faire l'objet d'un (ou de plusieurs) choix ou d'une adaptation en fonction du cas spécifique de l'élève.</w:t>
      </w:r>
    </w:p>
    <w:p>
      <w:pPr>
        <w:spacing w:line="360" w:lineRule="auto"/>
        <w:ind w:left="360"/>
        <w:jc w:val="both"/>
        <w:rPr>
          <w:rFonts w:ascii="Georgia" w:hAnsi="Georgia" w:cs="Arial"/>
          <w:sz w:val="22"/>
          <w:szCs w:val="22"/>
          <w:lang w:val="fr-BE"/>
        </w:rPr>
      </w:pPr>
    </w:p>
    <w:p>
      <w:pPr>
        <w:spacing w:line="360" w:lineRule="auto"/>
        <w:ind w:left="360"/>
        <w:jc w:val="both"/>
        <w:rPr>
          <w:rFonts w:ascii="Georgia" w:hAnsi="Georgia" w:cs="Arial"/>
          <w:sz w:val="22"/>
          <w:szCs w:val="22"/>
        </w:rPr>
      </w:pPr>
      <w:r>
        <w:rPr>
          <w:rFonts w:ascii="Georgia" w:hAnsi="Georgia" w:cs="Arial"/>
          <w:sz w:val="22"/>
          <w:szCs w:val="22"/>
        </w:rPr>
        <w:t>"Considérant donc que l’élève ne dispose pas des acquis nécessaires pour poursuivre des études dans l’année supérieure de l’enseignement</w:t>
      </w:r>
    </w:p>
    <w:p>
      <w:pPr>
        <w:numPr>
          <w:ilvl w:val="0"/>
          <w:numId w:val="7"/>
        </w:numPr>
        <w:spacing w:line="360" w:lineRule="auto"/>
        <w:jc w:val="both"/>
        <w:rPr>
          <w:rFonts w:ascii="Georgia" w:hAnsi="Georgia" w:cs="Arial"/>
          <w:i/>
          <w:sz w:val="22"/>
          <w:szCs w:val="22"/>
          <w:lang w:val="fr-BE"/>
        </w:rPr>
      </w:pPr>
      <w:r>
        <w:rPr>
          <w:rFonts w:ascii="Georgia" w:hAnsi="Georgia" w:cs="Arial"/>
          <w:i/>
          <w:sz w:val="22"/>
          <w:szCs w:val="22"/>
          <w:lang w:val="fr-BE"/>
        </w:rPr>
        <w:t>général de transition</w:t>
      </w:r>
    </w:p>
    <w:p>
      <w:pPr>
        <w:numPr>
          <w:ilvl w:val="0"/>
          <w:numId w:val="7"/>
        </w:numPr>
        <w:spacing w:line="360" w:lineRule="auto"/>
        <w:jc w:val="both"/>
        <w:rPr>
          <w:rFonts w:ascii="Georgia" w:hAnsi="Georgia" w:cs="Arial"/>
          <w:i/>
          <w:sz w:val="22"/>
          <w:szCs w:val="22"/>
          <w:lang w:val="fr-BE"/>
        </w:rPr>
      </w:pPr>
      <w:r>
        <w:rPr>
          <w:rFonts w:ascii="Georgia" w:hAnsi="Georgia" w:cs="Arial"/>
          <w:i/>
          <w:sz w:val="22"/>
          <w:szCs w:val="22"/>
          <w:lang w:val="fr-BE"/>
        </w:rPr>
        <w:t>technique de transition</w:t>
      </w:r>
    </w:p>
    <w:p>
      <w:pPr>
        <w:numPr>
          <w:ilvl w:val="0"/>
          <w:numId w:val="7"/>
        </w:numPr>
        <w:spacing w:line="360" w:lineRule="auto"/>
        <w:jc w:val="both"/>
        <w:rPr>
          <w:rFonts w:ascii="Georgia" w:hAnsi="Georgia" w:cs="Arial"/>
          <w:i/>
          <w:sz w:val="22"/>
          <w:szCs w:val="22"/>
          <w:lang w:val="fr-BE"/>
        </w:rPr>
      </w:pPr>
      <w:r>
        <w:rPr>
          <w:rFonts w:ascii="Georgia" w:hAnsi="Georgia" w:cs="Arial"/>
          <w:i/>
          <w:sz w:val="22"/>
          <w:szCs w:val="22"/>
          <w:lang w:val="fr-BE"/>
        </w:rPr>
        <w:t>artistique de transition</w:t>
      </w:r>
    </w:p>
    <w:p>
      <w:pPr>
        <w:numPr>
          <w:ilvl w:val="0"/>
          <w:numId w:val="7"/>
        </w:numPr>
        <w:spacing w:line="360" w:lineRule="auto"/>
        <w:jc w:val="both"/>
        <w:rPr>
          <w:rFonts w:ascii="Georgia" w:hAnsi="Georgia" w:cs="Arial"/>
          <w:i/>
          <w:sz w:val="22"/>
          <w:szCs w:val="22"/>
          <w:lang w:val="fr-BE"/>
        </w:rPr>
      </w:pPr>
      <w:r>
        <w:rPr>
          <w:rFonts w:ascii="Georgia" w:hAnsi="Georgia" w:cs="Arial"/>
          <w:i/>
          <w:sz w:val="22"/>
          <w:szCs w:val="22"/>
          <w:lang w:val="fr-BE"/>
        </w:rPr>
        <w:t>technique de qualification</w:t>
      </w:r>
    </w:p>
    <w:p>
      <w:pPr>
        <w:numPr>
          <w:ilvl w:val="0"/>
          <w:numId w:val="7"/>
        </w:numPr>
        <w:spacing w:line="360" w:lineRule="auto"/>
        <w:jc w:val="both"/>
        <w:rPr>
          <w:rFonts w:ascii="Georgia" w:hAnsi="Georgia" w:cs="Arial"/>
          <w:i/>
          <w:sz w:val="22"/>
          <w:szCs w:val="22"/>
          <w:lang w:val="fr-BE"/>
        </w:rPr>
      </w:pPr>
      <w:r>
        <w:rPr>
          <w:rFonts w:ascii="Georgia" w:hAnsi="Georgia" w:cs="Arial"/>
          <w:i/>
          <w:sz w:val="22"/>
          <w:szCs w:val="22"/>
          <w:lang w:val="fr-BE"/>
        </w:rPr>
        <w:t>artistique de qualification"</w:t>
      </w:r>
    </w:p>
    <w:p>
      <w:pPr>
        <w:spacing w:line="360" w:lineRule="auto"/>
        <w:ind w:left="360"/>
        <w:jc w:val="both"/>
        <w:rPr>
          <w:rFonts w:ascii="Georgia" w:hAnsi="Georgia" w:cs="Arial"/>
          <w:sz w:val="22"/>
          <w:szCs w:val="22"/>
          <w:lang w:val="fr-BE"/>
        </w:rPr>
      </w:pPr>
    </w:p>
    <w:p>
      <w:pPr>
        <w:spacing w:line="360" w:lineRule="auto"/>
        <w:ind w:left="360"/>
        <w:jc w:val="both"/>
        <w:rPr>
          <w:rFonts w:ascii="Georgia" w:hAnsi="Georgia" w:cs="Arial"/>
          <w:sz w:val="22"/>
          <w:szCs w:val="22"/>
          <w:lang w:val="fr-BE"/>
        </w:rPr>
      </w:pPr>
      <w:r>
        <w:rPr>
          <w:rFonts w:ascii="Georgia" w:hAnsi="Georgia" w:cs="Arial"/>
          <w:sz w:val="22"/>
          <w:szCs w:val="22"/>
          <w:lang w:val="fr-BE"/>
        </w:rPr>
        <w:t>"Considérant, au vu des résultats obtenus par l’élève, que, selon les critères définis à l’article 22, §1</w:t>
      </w:r>
      <w:r>
        <w:rPr>
          <w:rFonts w:ascii="Georgia" w:hAnsi="Georgia" w:cs="Arial"/>
          <w:sz w:val="22"/>
          <w:szCs w:val="22"/>
          <w:vertAlign w:val="superscript"/>
          <w:lang w:val="fr-BE"/>
        </w:rPr>
        <w:t>er</w:t>
      </w:r>
      <w:r>
        <w:rPr>
          <w:rFonts w:ascii="Georgia" w:hAnsi="Georgia" w:cs="Arial"/>
          <w:sz w:val="22"/>
          <w:szCs w:val="22"/>
          <w:lang w:val="fr-BE"/>
        </w:rPr>
        <w:t xml:space="preserve">, 1° </w:t>
      </w:r>
      <w:r>
        <w:rPr>
          <w:rFonts w:ascii="Georgia" w:hAnsi="Georgia" w:cs="Arial"/>
          <w:i/>
          <w:sz w:val="22"/>
          <w:szCs w:val="22"/>
          <w:lang w:val="fr-BE"/>
        </w:rPr>
        <w:t>(2°, 3°, 4°, 5°, 6°)</w:t>
      </w:r>
      <w:r>
        <w:rPr>
          <w:rFonts w:ascii="Georgia" w:hAnsi="Georgia" w:cs="Arial"/>
          <w:sz w:val="22"/>
          <w:szCs w:val="22"/>
          <w:lang w:val="fr-BE"/>
        </w:rPr>
        <w:t xml:space="preserve"> de l’arrêté royal du 29 juin 1984 relatif à l’organisation de l’enseignement secondaire, il n’est pas possible de considérer que l’élève a terminé son année avec fruit"</w:t>
      </w:r>
    </w:p>
    <w:p>
      <w:pPr>
        <w:spacing w:line="360" w:lineRule="auto"/>
        <w:ind w:left="360"/>
        <w:jc w:val="both"/>
        <w:rPr>
          <w:rFonts w:ascii="Georgia" w:hAnsi="Georgia" w:cs="Arial"/>
          <w:sz w:val="22"/>
          <w:szCs w:val="22"/>
        </w:rPr>
      </w:pPr>
    </w:p>
    <w:p>
      <w:pPr>
        <w:spacing w:line="360" w:lineRule="auto"/>
        <w:ind w:left="360"/>
        <w:jc w:val="both"/>
        <w:rPr>
          <w:rFonts w:ascii="Georgia" w:hAnsi="Georgia" w:cs="Arial"/>
          <w:sz w:val="22"/>
          <w:szCs w:val="22"/>
        </w:rPr>
      </w:pPr>
      <w:r>
        <w:rPr>
          <w:rFonts w:ascii="Georgia" w:hAnsi="Georgia" w:cs="Arial"/>
          <w:sz w:val="22"/>
          <w:szCs w:val="22"/>
        </w:rPr>
        <w:t xml:space="preserve">"Considérant que l’importance </w:t>
      </w:r>
      <w:r>
        <w:rPr>
          <w:rFonts w:ascii="Georgia" w:hAnsi="Georgia" w:cs="Arial"/>
          <w:sz w:val="22"/>
          <w:szCs w:val="22"/>
          <w:lang w:val="fr-BE"/>
        </w:rPr>
        <w:t xml:space="preserve">(et/ou le nombre) </w:t>
      </w:r>
      <w:r>
        <w:rPr>
          <w:rFonts w:ascii="Georgia" w:hAnsi="Georgia" w:cs="Arial"/>
          <w:sz w:val="22"/>
          <w:szCs w:val="22"/>
        </w:rPr>
        <w:t xml:space="preserve">des échecs, </w:t>
      </w:r>
      <w:r>
        <w:rPr>
          <w:rFonts w:ascii="Georgia" w:hAnsi="Georgia" w:cs="Arial"/>
          <w:i/>
          <w:sz w:val="22"/>
          <w:szCs w:val="22"/>
        </w:rPr>
        <w:t>en particulier dans une (les) (des) branche(s) constitutive(s) de l’option choisie</w:t>
      </w:r>
      <w:r>
        <w:rPr>
          <w:rFonts w:ascii="Georgia" w:hAnsi="Georgia" w:cs="Arial"/>
          <w:sz w:val="22"/>
          <w:szCs w:val="22"/>
        </w:rPr>
        <w:t>, atteste que les compétences requises par le programme des études en vue de la poursuite de celles-ci dans l’année supérieure ne sont pas atteintes"</w:t>
      </w:r>
    </w:p>
    <w:p>
      <w:pPr>
        <w:spacing w:line="360" w:lineRule="auto"/>
        <w:ind w:left="360"/>
        <w:jc w:val="both"/>
        <w:rPr>
          <w:rFonts w:ascii="Georgia" w:hAnsi="Georgia" w:cs="Arial"/>
          <w:sz w:val="22"/>
          <w:szCs w:val="22"/>
          <w:lang w:val="fr-BE"/>
        </w:rPr>
      </w:pPr>
      <w:r>
        <w:rPr>
          <w:rFonts w:ascii="Georgia" w:hAnsi="Georgia" w:cs="Arial"/>
          <w:sz w:val="22"/>
          <w:szCs w:val="22"/>
          <w:lang w:val="fr-BE"/>
        </w:rPr>
        <w:t xml:space="preserve">"Considérant que l’importance de l’échec, </w:t>
      </w:r>
      <w:r>
        <w:rPr>
          <w:rFonts w:ascii="Georgia" w:hAnsi="Georgia" w:cs="Arial"/>
          <w:i/>
          <w:sz w:val="22"/>
          <w:szCs w:val="22"/>
          <w:lang w:val="fr-BE"/>
        </w:rPr>
        <w:t xml:space="preserve">en particulier dans une </w:t>
      </w:r>
      <w:r>
        <w:rPr>
          <w:rFonts w:ascii="Georgia" w:hAnsi="Georgia" w:cs="Arial"/>
          <w:i/>
          <w:sz w:val="22"/>
          <w:szCs w:val="22"/>
        </w:rPr>
        <w:t>(les) (des)</w:t>
      </w:r>
      <w:r>
        <w:rPr>
          <w:rFonts w:ascii="Georgia" w:hAnsi="Georgia" w:cs="Arial"/>
          <w:i/>
          <w:sz w:val="22"/>
          <w:szCs w:val="22"/>
          <w:lang w:val="fr-BE"/>
        </w:rPr>
        <w:t xml:space="preserve"> branche(s) constitutive(s) de l’option choisie, </w:t>
      </w:r>
      <w:r>
        <w:rPr>
          <w:rFonts w:ascii="Georgia" w:hAnsi="Georgia" w:cs="Arial"/>
          <w:sz w:val="22"/>
          <w:szCs w:val="22"/>
          <w:lang w:val="fr-BE"/>
        </w:rPr>
        <w:t>atteste que les compétences requises par le programme des études en vue de l’obtention du CESS ne sont pas atteintes"</w:t>
      </w:r>
    </w:p>
    <w:p>
      <w:pPr>
        <w:spacing w:line="360" w:lineRule="auto"/>
        <w:ind w:left="360"/>
        <w:jc w:val="both"/>
        <w:rPr>
          <w:rFonts w:ascii="Georgia" w:hAnsi="Georgia" w:cs="Arial"/>
          <w:sz w:val="22"/>
          <w:szCs w:val="22"/>
          <w:lang w:val="fr-BE"/>
        </w:rPr>
      </w:pPr>
    </w:p>
    <w:p>
      <w:pPr>
        <w:spacing w:line="360" w:lineRule="auto"/>
        <w:ind w:left="360"/>
        <w:jc w:val="both"/>
        <w:rPr>
          <w:rFonts w:ascii="Georgia" w:hAnsi="Georgia" w:cs="Arial"/>
          <w:sz w:val="22"/>
          <w:szCs w:val="22"/>
          <w:lang w:val="fr-BE"/>
        </w:rPr>
      </w:pPr>
      <w:r>
        <w:rPr>
          <w:rFonts w:ascii="Georgia" w:hAnsi="Georgia" w:cs="Arial"/>
          <w:smallCaps/>
          <w:sz w:val="22"/>
          <w:szCs w:val="22"/>
          <w:u w:val="single"/>
        </w:rPr>
        <w:t>Décision du Conseil de classe</w:t>
      </w:r>
    </w:p>
    <w:p>
      <w:pPr>
        <w:spacing w:line="360" w:lineRule="auto"/>
        <w:ind w:left="720"/>
        <w:jc w:val="both"/>
        <w:rPr>
          <w:rFonts w:ascii="Georgia" w:hAnsi="Georgia" w:cs="Arial"/>
          <w:b/>
          <w:sz w:val="22"/>
          <w:szCs w:val="22"/>
          <w:u w:val="single"/>
          <w:lang w:val="fr-BE"/>
        </w:rPr>
      </w:pPr>
    </w:p>
    <w:p>
      <w:pPr>
        <w:spacing w:line="360" w:lineRule="auto"/>
        <w:ind w:left="360"/>
        <w:jc w:val="both"/>
        <w:rPr>
          <w:rFonts w:ascii="Georgia" w:hAnsi="Georgia" w:cs="Arial"/>
          <w:sz w:val="22"/>
          <w:szCs w:val="22"/>
        </w:rPr>
      </w:pPr>
      <w:r>
        <w:rPr>
          <w:rFonts w:ascii="Georgia" w:hAnsi="Georgia" w:cs="Arial"/>
          <w:sz w:val="22"/>
          <w:szCs w:val="22"/>
        </w:rPr>
        <w:t>"Le Conseil de classe a pris la décision de délivrer à l'élève une attestation d'orientation …………………………………………………………………………."</w:t>
      </w:r>
    </w:p>
    <w:p>
      <w:pPr>
        <w:spacing w:line="360" w:lineRule="auto"/>
        <w:ind w:left="360"/>
        <w:jc w:val="both"/>
        <w:rPr>
          <w:rFonts w:ascii="Georgia" w:hAnsi="Georgia" w:cs="Arial"/>
          <w:sz w:val="22"/>
          <w:szCs w:val="22"/>
        </w:rPr>
      </w:pPr>
      <w:r>
        <w:rPr>
          <w:rFonts w:ascii="Georgia" w:hAnsi="Georgia" w:cs="Arial"/>
          <w:sz w:val="22"/>
          <w:szCs w:val="22"/>
        </w:rPr>
        <w:t>Au terme d’une procédure de conciliation interne (voir infra), le nouveau procès-verbal du Conseil de classe indique l'une des décisions ci-après:</w:t>
      </w:r>
    </w:p>
    <w:p>
      <w:pPr>
        <w:spacing w:line="360" w:lineRule="auto"/>
        <w:ind w:left="360"/>
        <w:jc w:val="both"/>
        <w:rPr>
          <w:rFonts w:ascii="Georgia" w:hAnsi="Georgia" w:cs="Arial"/>
          <w:sz w:val="22"/>
          <w:szCs w:val="22"/>
        </w:rPr>
      </w:pPr>
    </w:p>
    <w:p>
      <w:pPr>
        <w:numPr>
          <w:ilvl w:val="0"/>
          <w:numId w:val="32"/>
        </w:numPr>
        <w:spacing w:line="360" w:lineRule="auto"/>
        <w:jc w:val="both"/>
        <w:rPr>
          <w:rFonts w:ascii="Georgia" w:hAnsi="Georgia" w:cs="Arial"/>
          <w:sz w:val="22"/>
          <w:szCs w:val="22"/>
        </w:rPr>
      </w:pPr>
      <w:r>
        <w:rPr>
          <w:rFonts w:ascii="Georgia" w:hAnsi="Georgia" w:cs="Arial"/>
          <w:sz w:val="22"/>
          <w:szCs w:val="22"/>
        </w:rPr>
        <w:t>"Après avoir pris connaissance des éléments soumis dans le cadre de la procédure de conciliation interne, le Conseil de classe décide de maintenir la décision d’octroi d’une attestation d’orientation …………………………."</w:t>
      </w:r>
    </w:p>
    <w:p>
      <w:pPr>
        <w:spacing w:line="360" w:lineRule="auto"/>
        <w:ind w:left="360"/>
        <w:jc w:val="both"/>
        <w:rPr>
          <w:rFonts w:ascii="Georgia" w:hAnsi="Georgia" w:cs="Arial"/>
          <w:sz w:val="22"/>
          <w:szCs w:val="22"/>
        </w:rPr>
      </w:pPr>
    </w:p>
    <w:p>
      <w:pPr>
        <w:numPr>
          <w:ilvl w:val="0"/>
          <w:numId w:val="32"/>
        </w:numPr>
        <w:spacing w:line="360" w:lineRule="auto"/>
        <w:jc w:val="both"/>
        <w:rPr>
          <w:rFonts w:ascii="Georgia" w:hAnsi="Georgia" w:cs="Arial"/>
          <w:sz w:val="22"/>
          <w:szCs w:val="22"/>
        </w:rPr>
      </w:pPr>
      <w:r>
        <w:rPr>
          <w:rFonts w:ascii="Georgia" w:hAnsi="Georgia" w:cs="Arial"/>
          <w:sz w:val="22"/>
          <w:szCs w:val="22"/>
          <w:lang w:val="fr-BE"/>
        </w:rPr>
        <w:t>"</w:t>
      </w:r>
      <w:r>
        <w:rPr>
          <w:rFonts w:ascii="Georgia" w:hAnsi="Georgia" w:cs="Arial"/>
          <w:sz w:val="22"/>
          <w:szCs w:val="22"/>
        </w:rPr>
        <w:t>Après avoir pris connaissance des éléments soumis dans le cadre de la procédure de conciliation interne, le Conseil de classe décide de modifier sa décision d'orientation initiale et de délivrer à l'élève une attestation d'orientation ……………………"</w:t>
      </w:r>
    </w:p>
    <w:p>
      <w:pPr>
        <w:spacing w:line="360" w:lineRule="auto"/>
        <w:jc w:val="both"/>
        <w:rPr>
          <w:rFonts w:ascii="Georgia" w:hAnsi="Georgia" w:cs="Arial"/>
          <w:sz w:val="22"/>
          <w:szCs w:val="22"/>
        </w:rPr>
      </w:pPr>
    </w:p>
    <w:p>
      <w:pPr>
        <w:numPr>
          <w:ilvl w:val="1"/>
          <w:numId w:val="21"/>
        </w:numPr>
        <w:tabs>
          <w:tab w:val="clear" w:pos="2160"/>
          <w:tab w:val="num" w:pos="540"/>
        </w:tabs>
        <w:spacing w:line="360" w:lineRule="auto"/>
        <w:ind w:hanging="2160"/>
        <w:jc w:val="both"/>
        <w:rPr>
          <w:rFonts w:ascii="Georgia" w:hAnsi="Georgia" w:cs="Arial"/>
          <w:smallCaps/>
          <w:sz w:val="22"/>
          <w:szCs w:val="22"/>
          <w:u w:val="single"/>
        </w:rPr>
      </w:pPr>
      <w:r>
        <w:rPr>
          <w:rFonts w:ascii="Georgia" w:hAnsi="Georgia" w:cs="Arial"/>
          <w:smallCaps/>
          <w:sz w:val="22"/>
          <w:szCs w:val="22"/>
          <w:u w:val="single"/>
        </w:rPr>
        <w:t>Décision du Jury de qualification</w:t>
      </w:r>
    </w:p>
    <w:p>
      <w:pPr>
        <w:spacing w:line="360" w:lineRule="auto"/>
        <w:ind w:left="720"/>
        <w:jc w:val="both"/>
        <w:rPr>
          <w:rFonts w:ascii="Georgia" w:hAnsi="Georgia" w:cs="Arial"/>
          <w:smallCaps/>
          <w:sz w:val="22"/>
          <w:szCs w:val="22"/>
          <w:u w:val="single"/>
        </w:rPr>
      </w:pPr>
    </w:p>
    <w:p>
      <w:pPr>
        <w:spacing w:line="360" w:lineRule="auto"/>
        <w:ind w:left="360"/>
        <w:jc w:val="both"/>
        <w:rPr>
          <w:rFonts w:ascii="Georgia" w:hAnsi="Georgia" w:cs="Arial"/>
          <w:sz w:val="22"/>
          <w:szCs w:val="22"/>
        </w:rPr>
      </w:pPr>
      <w:r>
        <w:rPr>
          <w:rFonts w:ascii="Georgia" w:hAnsi="Georgia" w:cs="Arial"/>
          <w:sz w:val="22"/>
          <w:szCs w:val="22"/>
        </w:rPr>
        <w:t>"Le Jury de qualification a pris la décision de refuser l’octroi du certificat de qualification."</w:t>
      </w:r>
    </w:p>
    <w:p>
      <w:pPr>
        <w:spacing w:line="360" w:lineRule="auto"/>
        <w:ind w:left="360"/>
        <w:jc w:val="both"/>
        <w:rPr>
          <w:rFonts w:ascii="Georgia" w:hAnsi="Georgia" w:cs="Arial"/>
          <w:sz w:val="22"/>
          <w:szCs w:val="22"/>
        </w:rPr>
      </w:pPr>
    </w:p>
    <w:p>
      <w:pPr>
        <w:spacing w:line="360" w:lineRule="auto"/>
        <w:ind w:left="360"/>
        <w:jc w:val="both"/>
        <w:rPr>
          <w:rFonts w:ascii="Georgia" w:hAnsi="Georgia" w:cs="Arial"/>
          <w:sz w:val="22"/>
          <w:szCs w:val="22"/>
        </w:rPr>
      </w:pPr>
      <w:r>
        <w:rPr>
          <w:rFonts w:ascii="Georgia" w:hAnsi="Georgia" w:cs="Arial"/>
          <w:sz w:val="22"/>
          <w:szCs w:val="22"/>
        </w:rPr>
        <w:t>Au terme d’une procédure de conciliation interne (voir infra), le nouveau procès-verbal du Jury de qualification indique l'une des décisions ci-après:</w:t>
      </w:r>
    </w:p>
    <w:p>
      <w:pPr>
        <w:spacing w:line="360" w:lineRule="auto"/>
        <w:ind w:left="360"/>
        <w:jc w:val="both"/>
        <w:rPr>
          <w:rFonts w:ascii="Georgia" w:hAnsi="Georgia" w:cs="Arial"/>
          <w:sz w:val="22"/>
          <w:szCs w:val="22"/>
        </w:rPr>
      </w:pPr>
    </w:p>
    <w:p>
      <w:pPr>
        <w:numPr>
          <w:ilvl w:val="0"/>
          <w:numId w:val="32"/>
        </w:numPr>
        <w:spacing w:line="360" w:lineRule="auto"/>
        <w:jc w:val="both"/>
        <w:rPr>
          <w:rFonts w:ascii="Georgia" w:hAnsi="Georgia" w:cs="Arial"/>
          <w:sz w:val="22"/>
          <w:szCs w:val="22"/>
        </w:rPr>
      </w:pPr>
      <w:r>
        <w:rPr>
          <w:rFonts w:ascii="Georgia" w:hAnsi="Georgia" w:cs="Arial"/>
          <w:sz w:val="22"/>
          <w:szCs w:val="22"/>
        </w:rPr>
        <w:t>"Après avoir pris connaissance des éléments soumis dans le cadre de la procédure de conciliation interne, le Jury de qualification décide de maintenir sa décision de refus d’octroi du certificat de qualification. "</w:t>
      </w:r>
    </w:p>
    <w:p>
      <w:pPr>
        <w:spacing w:line="360" w:lineRule="auto"/>
        <w:ind w:left="360"/>
        <w:jc w:val="both"/>
        <w:rPr>
          <w:rFonts w:ascii="Georgia" w:hAnsi="Georgia" w:cs="Arial"/>
          <w:sz w:val="22"/>
          <w:szCs w:val="22"/>
        </w:rPr>
      </w:pPr>
    </w:p>
    <w:p>
      <w:pPr>
        <w:numPr>
          <w:ilvl w:val="0"/>
          <w:numId w:val="32"/>
        </w:numPr>
        <w:spacing w:line="360" w:lineRule="auto"/>
        <w:jc w:val="both"/>
        <w:rPr>
          <w:rFonts w:ascii="Georgia" w:hAnsi="Georgia" w:cs="Arial"/>
          <w:sz w:val="22"/>
          <w:szCs w:val="22"/>
        </w:rPr>
      </w:pPr>
      <w:r>
        <w:rPr>
          <w:rFonts w:ascii="Georgia" w:hAnsi="Georgia" w:cs="Arial"/>
          <w:sz w:val="22"/>
          <w:szCs w:val="22"/>
          <w:lang w:val="fr-BE"/>
        </w:rPr>
        <w:t>"</w:t>
      </w:r>
      <w:r>
        <w:rPr>
          <w:rFonts w:ascii="Georgia" w:hAnsi="Georgia" w:cs="Arial"/>
          <w:sz w:val="22"/>
          <w:szCs w:val="22"/>
        </w:rPr>
        <w:t>Après avoir pris connaissance des éléments soumis dans le cadre de la procédure de conciliation interne, le Jury de qualification décide de modifier sa décision initiale et de délivrer le certificat de qualification."</w:t>
      </w:r>
    </w:p>
    <w:p>
      <w:pPr>
        <w:spacing w:line="360" w:lineRule="auto"/>
        <w:ind w:left="720"/>
        <w:jc w:val="both"/>
        <w:rPr>
          <w:rFonts w:ascii="Georgia" w:hAnsi="Georgia" w:cs="Arial"/>
          <w:sz w:val="22"/>
          <w:szCs w:val="22"/>
        </w:rPr>
      </w:pPr>
    </w:p>
    <w:p>
      <w:pPr>
        <w:spacing w:line="360" w:lineRule="auto"/>
        <w:jc w:val="both"/>
        <w:rPr>
          <w:rFonts w:ascii="Georgia" w:hAnsi="Georgia" w:cs="Arial"/>
          <w:b/>
          <w:sz w:val="28"/>
          <w:szCs w:val="28"/>
          <w:u w:val="single"/>
        </w:rPr>
      </w:pPr>
      <w:r>
        <w:rPr>
          <w:rFonts w:ascii="Georgia" w:hAnsi="Georgia" w:cs="Arial"/>
          <w:b/>
          <w:sz w:val="28"/>
          <w:szCs w:val="28"/>
          <w:u w:val="single"/>
        </w:rPr>
        <w:t>D.</w:t>
      </w:r>
      <w:r>
        <w:rPr>
          <w:rFonts w:ascii="Georgia" w:hAnsi="Georgia" w:cs="Arial"/>
          <w:b/>
          <w:sz w:val="28"/>
          <w:szCs w:val="28"/>
          <w:u w:val="single"/>
        </w:rPr>
        <w:tab/>
        <w:t>Procédure interne de conciliation</w:t>
      </w:r>
    </w:p>
    <w:p>
      <w:pPr>
        <w:spacing w:line="360" w:lineRule="auto"/>
        <w:ind w:left="-360"/>
        <w:jc w:val="both"/>
        <w:rPr>
          <w:rFonts w:ascii="Georgia" w:hAnsi="Georgia" w:cs="Arial"/>
          <w:sz w:val="22"/>
          <w:szCs w:val="22"/>
          <w:u w:val="single"/>
        </w:rPr>
      </w:pPr>
    </w:p>
    <w:p>
      <w:pPr>
        <w:spacing w:line="360" w:lineRule="auto"/>
        <w:jc w:val="both"/>
        <w:rPr>
          <w:rFonts w:ascii="Georgia" w:hAnsi="Georgia" w:cs="Arial"/>
          <w:sz w:val="22"/>
          <w:szCs w:val="22"/>
        </w:rPr>
      </w:pPr>
      <w:r>
        <w:rPr>
          <w:rFonts w:ascii="Georgia" w:hAnsi="Georgia" w:cs="Arial"/>
          <w:sz w:val="22"/>
          <w:szCs w:val="22"/>
        </w:rPr>
        <w:t>L’article 96 du décret du 24 juillet 1997 susvisé stipule, dans son alinéa 6, que :</w:t>
      </w:r>
    </w:p>
    <w:p>
      <w:pPr>
        <w:spacing w:line="360" w:lineRule="auto"/>
        <w:jc w:val="both"/>
        <w:rPr>
          <w:rFonts w:ascii="Georgia" w:hAnsi="Georgia" w:cs="Arial"/>
          <w:i/>
          <w:sz w:val="22"/>
          <w:szCs w:val="22"/>
        </w:rPr>
      </w:pPr>
      <w:r>
        <w:rPr>
          <w:rFonts w:ascii="Georgia" w:hAnsi="Georgia" w:cs="Arial"/>
          <w:sz w:val="22"/>
          <w:szCs w:val="22"/>
        </w:rPr>
        <w:t xml:space="preserve"> </w:t>
      </w:r>
      <w:r>
        <w:rPr>
          <w:rFonts w:ascii="Georgia" w:hAnsi="Georgia" w:cs="Arial"/>
          <w:i/>
          <w:sz w:val="22"/>
          <w:szCs w:val="22"/>
        </w:rPr>
        <w:t>« Chaque pouvoir organisateur prévoit une procédure interne destinée à instruire les contestations pouvant survenir à propos des décisions des Conseils de classe et des décisions des Jurys de qualification et à favoriser la conciliation des points de vue».</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La procédure interne de conciliation a pour but d'essayer de trouver une solution interne à l'établissement et donc d'éviter un recours devant le Conseil de recours. Il importe qu'elle soit donc conduite dans un souci de réel dialogue et de conciliation des points de vue.</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L’article 96, alinéa 7 du Décret du 24 juillet 1997 susvisé précise que «Le délai minimum d'introduction de la procédure de conciliation interne</w:t>
      </w:r>
      <w:r>
        <w:rPr>
          <w:rFonts w:ascii="Georgia" w:hAnsi="Georgia" w:cs="Arial"/>
          <w:i/>
          <w:sz w:val="22"/>
          <w:szCs w:val="22"/>
        </w:rPr>
        <w:t xml:space="preserve"> relative aux décisions du Conseil de classe et aux décisions du Jury de qualification doit être prévu par le pouvoir organisateur mais ne peut être inférieur à deux jours ouvrables après la communication de la décision</w:t>
      </w:r>
      <w:r>
        <w:rPr>
          <w:rFonts w:ascii="Georgia" w:hAnsi="Georgia" w:cs="Arial"/>
          <w:sz w:val="22"/>
          <w:szCs w:val="22"/>
        </w:rPr>
        <w:t>. »</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 xml:space="preserve">Selon cette disposition, les élèves ou les parents devront donc disposer d'au moins 2 jours ouvrables </w:t>
      </w:r>
      <w:r>
        <w:rPr>
          <w:rFonts w:ascii="Georgia" w:hAnsi="Georgia" w:cs="Arial"/>
          <w:sz w:val="22"/>
          <w:szCs w:val="22"/>
          <w:u w:val="single"/>
        </w:rPr>
        <w:t>après</w:t>
      </w:r>
      <w:r>
        <w:rPr>
          <w:rFonts w:ascii="Georgia" w:hAnsi="Georgia" w:cs="Arial"/>
          <w:sz w:val="22"/>
          <w:szCs w:val="22"/>
        </w:rPr>
        <w:t xml:space="preserve"> la communication des résultats pour informer le Chef d’établissement de leur volonté de contester la décision du Conseil de classe ou du Jury de qualification.</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 xml:space="preserve">Par ailleurs, en ce qui concerne la deuxième session, l’article 9bis, c) de la Loi du 19 juillet 1971 relative à la structure générale et à l'organisation de l'enseignement secondaire prévoit que </w:t>
      </w:r>
      <w:r>
        <w:rPr>
          <w:rFonts w:ascii="Georgia" w:hAnsi="Georgia" w:cs="Arial"/>
          <w:i/>
          <w:sz w:val="22"/>
          <w:szCs w:val="22"/>
        </w:rPr>
        <w:t>"lorsque le pouvoir organisateur fait le choix d'organiser des examens de passage et qu'ils sont organisés en tout ou en partie en septembre, ils ne peuvent s'étendre au-delà des trois premiers jours d'ouverture d'école".</w:t>
      </w:r>
    </w:p>
    <w:p>
      <w:pPr>
        <w:spacing w:line="360" w:lineRule="auto"/>
        <w:jc w:val="both"/>
        <w:rPr>
          <w:rFonts w:ascii="Georgia" w:hAnsi="Georgia" w:cs="Arial"/>
          <w:i/>
          <w:sz w:val="22"/>
          <w:szCs w:val="22"/>
        </w:rPr>
      </w:pPr>
    </w:p>
    <w:p>
      <w:pPr>
        <w:spacing w:line="360" w:lineRule="auto"/>
        <w:jc w:val="both"/>
        <w:rPr>
          <w:rFonts w:ascii="Georgia" w:hAnsi="Georgia" w:cs="Arial"/>
          <w:sz w:val="22"/>
          <w:szCs w:val="22"/>
        </w:rPr>
      </w:pPr>
      <w:r>
        <w:rPr>
          <w:rFonts w:ascii="Georgia" w:hAnsi="Georgia" w:cs="Arial"/>
          <w:sz w:val="22"/>
          <w:szCs w:val="22"/>
        </w:rPr>
        <w:t>Le Chef d’établissement reçoit la demande de l’élève ou de ses parents et, en fonction des éléments contenus dans celle-ci, peut prendre seul la décision de réunir à nouveau le Conseil de classe ou le Jury de qualification.</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Il n’est donc pas nécessaire de prévoir, dans la procédure de conciliation interne, la réunion de ces deux instances pour chaque demande qui serait introduite. Il est à noter que dans ce cas, il doit être considéré qu’une conciliation interne est bien intervenue. La décision de ne pas réunir l’une des deux instances devra donc être communiquée à l’élève ou ses parents selon les modalités expliquées ci-après.</w:t>
      </w:r>
    </w:p>
    <w:p>
      <w:pPr>
        <w:spacing w:line="360" w:lineRule="auto"/>
        <w:jc w:val="both"/>
        <w:rPr>
          <w:rFonts w:ascii="Georgia" w:hAnsi="Georgia" w:cs="Arial"/>
          <w:sz w:val="22"/>
          <w:szCs w:val="22"/>
        </w:rPr>
      </w:pPr>
    </w:p>
    <w:p>
      <w:pPr>
        <w:spacing w:line="360" w:lineRule="auto"/>
        <w:jc w:val="both"/>
        <w:rPr>
          <w:rFonts w:ascii="Georgia" w:hAnsi="Georgia" w:cs="Arial"/>
          <w:i/>
          <w:sz w:val="22"/>
          <w:szCs w:val="22"/>
        </w:rPr>
      </w:pPr>
      <w:r>
        <w:rPr>
          <w:rFonts w:ascii="Georgia" w:hAnsi="Georgia" w:cs="Arial"/>
          <w:sz w:val="22"/>
          <w:szCs w:val="22"/>
        </w:rPr>
        <w:t xml:space="preserve">L’article 96, alinéa 7 du Décret du 24 juillet 1997 susvisé précise que «  </w:t>
      </w:r>
      <w:r>
        <w:rPr>
          <w:rFonts w:ascii="Georgia" w:hAnsi="Georgia" w:cs="Arial"/>
          <w:i/>
          <w:sz w:val="22"/>
          <w:szCs w:val="22"/>
        </w:rPr>
        <w:t>La notification des décisions prises suite à ces procédures internes est soit remise en mains propres aux demandeurs contre accusé de réception, soit adressée par envoi recommandé (…)</w:t>
      </w:r>
      <w:r>
        <w:rPr>
          <w:rFonts w:ascii="Georgia" w:hAnsi="Georgia" w:cs="Arial"/>
          <w:sz w:val="22"/>
          <w:szCs w:val="22"/>
        </w:rPr>
        <w:t>».</w:t>
      </w:r>
    </w:p>
    <w:p>
      <w:pPr>
        <w:spacing w:line="360" w:lineRule="auto"/>
        <w:jc w:val="both"/>
        <w:rPr>
          <w:rFonts w:ascii="Georgia" w:hAnsi="Georgia" w:cs="Arial"/>
          <w:i/>
          <w:sz w:val="22"/>
          <w:szCs w:val="22"/>
        </w:rPr>
      </w:pPr>
      <w:r>
        <w:rPr>
          <w:rFonts w:ascii="Georgia" w:hAnsi="Georgia" w:cs="Arial"/>
          <w:i/>
          <w:noProof/>
          <w:sz w:val="22"/>
          <w:szCs w:val="22"/>
          <w:lang w:val="fr-BE" w:eastAsia="fr-BE"/>
        </w:rPr>
        <mc:AlternateContent>
          <mc:Choice Requires="wps">
            <w:drawing>
              <wp:anchor distT="0" distB="0" distL="114300" distR="114300" simplePos="0" relativeHeight="251659264" behindDoc="0" locked="0" layoutInCell="1" allowOverlap="1">
                <wp:simplePos x="0" y="0"/>
                <wp:positionH relativeFrom="leftMargin">
                  <wp:align>right</wp:align>
                </wp:positionH>
                <wp:positionV relativeFrom="paragraph">
                  <wp:posOffset>280970</wp:posOffset>
                </wp:positionV>
                <wp:extent cx="327409" cy="413756"/>
                <wp:effectExtent l="57150" t="38100" r="73025" b="100965"/>
                <wp:wrapNone/>
                <wp:docPr id="3" name="Éclair 3"/>
                <wp:cNvGraphicFramePr/>
                <a:graphic xmlns:a="http://schemas.openxmlformats.org/drawingml/2006/main">
                  <a:graphicData uri="http://schemas.microsoft.com/office/word/2010/wordprocessingShape">
                    <wps:wsp>
                      <wps:cNvSpPr/>
                      <wps:spPr>
                        <a:xfrm>
                          <a:off x="0" y="0"/>
                          <a:ext cx="327409" cy="413756"/>
                        </a:xfrm>
                        <a:prstGeom prst="lightningBolt">
                          <a:avLst/>
                        </a:prstGeom>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Éclair 3" o:spid="_x0000_s1026" type="#_x0000_t73" style="position:absolute;margin-left:-25.4pt;margin-top:22.1pt;width:25.8pt;height:32.6pt;z-index:251659264;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" fillcolor="#cdddac [1622]" strokecolor="#94b64e [3046]">
                <v:fill color2="#f0f4e6 [502]" rotate="t" angle="180" colors="0 #dafda7;22938f #e4fdc2;1 #f5ffe6" focus="100%" type="gradient"/>
                <v:shadow on="t" color="black" opacity="24903f" origin=",.5" offset="0,.55556mm"/>
                <w10:wrap anchorx="margin"/>
              </v:shape>
            </w:pict>
          </mc:Fallback>
        </mc:AlternateContent>
      </w:r>
    </w:p>
    <w:p>
      <w:pPr>
        <w:spacing w:line="360" w:lineRule="auto"/>
        <w:jc w:val="both"/>
        <w:rPr>
          <w:rFonts w:ascii="Georgia" w:hAnsi="Georgia" w:cs="Arial"/>
          <w:sz w:val="22"/>
          <w:szCs w:val="22"/>
        </w:rPr>
      </w:pPr>
      <w:r>
        <w:rPr>
          <w:rFonts w:ascii="Georgia" w:hAnsi="Georgia" w:cs="Arial"/>
          <w:sz w:val="22"/>
          <w:szCs w:val="22"/>
        </w:rPr>
        <w:t xml:space="preserve">La notification des décisions prises suite à ces procédures internes doit donc être </w:t>
      </w:r>
    </w:p>
    <w:p>
      <w:pPr>
        <w:pStyle w:val="Paragraphedeliste"/>
        <w:numPr>
          <w:ilvl w:val="2"/>
          <w:numId w:val="36"/>
        </w:numPr>
        <w:spacing w:line="360" w:lineRule="auto"/>
        <w:ind w:left="1134" w:hanging="283"/>
        <w:jc w:val="both"/>
        <w:rPr>
          <w:rFonts w:ascii="Georgia" w:hAnsi="Georgia" w:cs="Arial"/>
          <w:sz w:val="22"/>
          <w:szCs w:val="22"/>
        </w:rPr>
      </w:pPr>
      <w:r>
        <w:rPr>
          <w:rFonts w:ascii="Georgia" w:hAnsi="Georgia" w:cs="Arial"/>
          <w:sz w:val="22"/>
          <w:szCs w:val="22"/>
        </w:rPr>
        <w:t xml:space="preserve">soit remise en mains propres au requérant contre accusé de réception ; </w:t>
      </w:r>
    </w:p>
    <w:p>
      <w:pPr>
        <w:pStyle w:val="Paragraphedeliste"/>
        <w:numPr>
          <w:ilvl w:val="2"/>
          <w:numId w:val="36"/>
        </w:numPr>
        <w:spacing w:line="360" w:lineRule="auto"/>
        <w:ind w:left="1134" w:hanging="283"/>
        <w:jc w:val="both"/>
        <w:rPr>
          <w:rFonts w:ascii="Georgia" w:hAnsi="Georgia" w:cs="Arial"/>
          <w:sz w:val="22"/>
          <w:szCs w:val="22"/>
        </w:rPr>
      </w:pPr>
      <w:r>
        <w:rPr>
          <w:rFonts w:ascii="Georgia" w:hAnsi="Georgia" w:cs="Arial"/>
          <w:sz w:val="22"/>
          <w:szCs w:val="22"/>
        </w:rPr>
        <w:t>soit envoyée par envoi recommandé</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u w:val="single"/>
        </w:rPr>
        <w:t>En 1</w:t>
      </w:r>
      <w:r>
        <w:rPr>
          <w:rFonts w:ascii="Georgia" w:hAnsi="Georgia" w:cs="Arial"/>
          <w:sz w:val="22"/>
          <w:szCs w:val="22"/>
          <w:u w:val="single"/>
          <w:vertAlign w:val="superscript"/>
        </w:rPr>
        <w:t>ère</w:t>
      </w:r>
      <w:r>
        <w:rPr>
          <w:rFonts w:ascii="Georgia" w:hAnsi="Georgia" w:cs="Arial"/>
          <w:sz w:val="22"/>
          <w:szCs w:val="22"/>
          <w:u w:val="single"/>
        </w:rPr>
        <w:t xml:space="preserve"> session</w:t>
      </w:r>
      <w:r>
        <w:rPr>
          <w:rFonts w:ascii="Georgia" w:hAnsi="Georgia" w:cs="Arial"/>
          <w:sz w:val="22"/>
          <w:szCs w:val="22"/>
        </w:rPr>
        <w:t> :</w:t>
      </w:r>
    </w:p>
    <w:p>
      <w:pPr>
        <w:spacing w:line="360" w:lineRule="auto"/>
        <w:jc w:val="both"/>
        <w:rPr>
          <w:rFonts w:ascii="Georgia" w:hAnsi="Georgia" w:cs="Arial"/>
          <w:sz w:val="22"/>
          <w:szCs w:val="22"/>
        </w:rPr>
      </w:pPr>
      <w:r>
        <w:rPr>
          <w:rFonts w:ascii="Georgia" w:hAnsi="Georgia" w:cs="Arial"/>
          <w:sz w:val="22"/>
          <w:szCs w:val="22"/>
        </w:rPr>
        <w:t>- au plus tard le 25 juin pour les jurys de qualification ;</w:t>
      </w:r>
    </w:p>
    <w:p>
      <w:pPr>
        <w:rPr>
          <w:rFonts w:ascii="Georgia" w:hAnsi="Georgia" w:cs="Arial"/>
          <w:sz w:val="22"/>
          <w:szCs w:val="22"/>
        </w:rPr>
      </w:pPr>
      <w:r>
        <w:rPr>
          <w:rFonts w:ascii="Georgia" w:hAnsi="Georgia" w:cs="Arial"/>
          <w:sz w:val="22"/>
          <w:szCs w:val="22"/>
        </w:rPr>
        <w:t>- le 30 juin pour les conseils de classe.</w:t>
      </w:r>
    </w:p>
    <w:p>
      <w:pPr>
        <w:rPr>
          <w:rFonts w:ascii="Georgia" w:hAnsi="Georgia" w:cs="Arial"/>
          <w:sz w:val="22"/>
          <w:szCs w:val="22"/>
        </w:rPr>
      </w:pPr>
    </w:p>
    <w:p>
      <w:pPr>
        <w:spacing w:line="360" w:lineRule="auto"/>
        <w:jc w:val="both"/>
        <w:rPr>
          <w:rFonts w:ascii="Georgia" w:hAnsi="Georgia" w:cs="Arial"/>
          <w:sz w:val="22"/>
          <w:szCs w:val="22"/>
          <w:u w:val="single"/>
        </w:rPr>
      </w:pPr>
      <w:r>
        <w:rPr>
          <w:rFonts w:ascii="Georgia" w:hAnsi="Georgia" w:cs="Arial"/>
          <w:sz w:val="22"/>
          <w:szCs w:val="22"/>
          <w:u w:val="single"/>
        </w:rPr>
        <w:t>En 2</w:t>
      </w:r>
      <w:r>
        <w:rPr>
          <w:rFonts w:ascii="Georgia" w:hAnsi="Georgia" w:cs="Arial"/>
          <w:sz w:val="22"/>
          <w:szCs w:val="22"/>
          <w:u w:val="single"/>
          <w:vertAlign w:val="superscript"/>
        </w:rPr>
        <w:t>ème</w:t>
      </w:r>
      <w:r>
        <w:rPr>
          <w:rFonts w:ascii="Georgia" w:hAnsi="Georgia" w:cs="Arial"/>
          <w:sz w:val="22"/>
          <w:szCs w:val="22"/>
          <w:u w:val="single"/>
        </w:rPr>
        <w:t xml:space="preserve"> session :</w:t>
      </w:r>
    </w:p>
    <w:p>
      <w:pPr>
        <w:spacing w:line="360" w:lineRule="auto"/>
        <w:jc w:val="both"/>
        <w:rPr>
          <w:rFonts w:ascii="Georgia" w:hAnsi="Georgia" w:cs="Arial"/>
          <w:sz w:val="22"/>
          <w:szCs w:val="22"/>
        </w:rPr>
      </w:pPr>
      <w:r>
        <w:rPr>
          <w:rFonts w:ascii="Georgia" w:hAnsi="Georgia" w:cs="Arial"/>
          <w:sz w:val="22"/>
          <w:szCs w:val="22"/>
        </w:rPr>
        <w:t>- dans les 5 jours qui suivent la délibération pour les jurys de qualification ;</w:t>
      </w:r>
    </w:p>
    <w:p>
      <w:pPr>
        <w:spacing w:line="360" w:lineRule="auto"/>
        <w:jc w:val="both"/>
        <w:rPr>
          <w:rFonts w:ascii="Georgia" w:hAnsi="Georgia" w:cs="Arial"/>
          <w:sz w:val="22"/>
          <w:szCs w:val="22"/>
        </w:rPr>
      </w:pPr>
      <w:r>
        <w:rPr>
          <w:rFonts w:ascii="Georgia" w:hAnsi="Georgia" w:cs="Arial"/>
          <w:sz w:val="22"/>
          <w:szCs w:val="22"/>
        </w:rPr>
        <w:t>- dans les 5 jours qui suivent la délibération pour les conseils de classe de septembre.</w:t>
      </w:r>
    </w:p>
    <w:tbl>
      <w:tblPr>
        <w:tblpPr w:leftFromText="141" w:rightFromText="141" w:vertAnchor="text" w:horzAnchor="margin" w:tblpYSpec="insid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0"/>
      </w:tblGrid>
      <w:tr>
        <w:tc>
          <w:tcPr>
            <w:tcW w:w="9060" w:type="dxa"/>
            <w:tcBorders>
              <w:top w:val="nil"/>
              <w:left w:val="nil"/>
              <w:bottom w:val="nil"/>
              <w:right w:val="nil"/>
            </w:tcBorders>
            <w:shd w:val="clear" w:color="auto" w:fill="auto"/>
          </w:tcPr>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Ce document devra également mentionner la possibilité d’introduction d’un recours externe.</w:t>
            </w:r>
          </w:p>
        </w:tc>
      </w:tr>
    </w:tbl>
    <w:p>
      <w:pPr>
        <w:spacing w:line="360" w:lineRule="auto"/>
        <w:jc w:val="both"/>
        <w:rPr>
          <w:rFonts w:ascii="Georgia" w:hAnsi="Georgia" w:cs="Arial"/>
          <w:sz w:val="22"/>
          <w:szCs w:val="22"/>
        </w:rPr>
      </w:pPr>
    </w:p>
    <w:p>
      <w:pPr>
        <w:spacing w:line="360" w:lineRule="auto"/>
        <w:jc w:val="both"/>
        <w:rPr>
          <w:rFonts w:ascii="Georgia" w:hAnsi="Georgia" w:cs="Arial"/>
          <w:i/>
          <w:sz w:val="22"/>
          <w:szCs w:val="22"/>
        </w:rPr>
      </w:pPr>
      <w:r>
        <w:rPr>
          <w:rFonts w:ascii="Georgia" w:hAnsi="Georgia" w:cs="Arial"/>
          <w:sz w:val="22"/>
          <w:szCs w:val="22"/>
        </w:rPr>
        <w:t>L’article 96, alinéa 9 du Décret du 24 juillet 1997 susvisé précise que</w:t>
      </w:r>
      <w:r>
        <w:rPr>
          <w:rFonts w:ascii="Georgia" w:hAnsi="Georgia" w:cs="Arial"/>
          <w:i/>
          <w:sz w:val="22"/>
          <w:szCs w:val="22"/>
        </w:rPr>
        <w:t xml:space="preserve"> « Dans tous les cas, la procédure de conciliation interne relative à un refus d'octroi du certificat de qualification est clôturée </w:t>
      </w:r>
      <w:r>
        <w:rPr>
          <w:rFonts w:ascii="Georgia" w:hAnsi="Georgia" w:cs="Arial"/>
          <w:i/>
          <w:sz w:val="22"/>
          <w:szCs w:val="22"/>
          <w:u w:val="single"/>
        </w:rPr>
        <w:t>avant</w:t>
      </w:r>
      <w:r>
        <w:rPr>
          <w:rFonts w:ascii="Georgia" w:hAnsi="Georgia" w:cs="Arial"/>
          <w:i/>
          <w:sz w:val="22"/>
          <w:szCs w:val="22"/>
        </w:rPr>
        <w:t xml:space="preserve"> que le Conseil de classe se réunisse pour délibérer quant à la réussite de l'année.» </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 xml:space="preserve">Il appartient à chaque pouvoir organisateur de mettre au point cette procédure interne et d’en faire connaître les modalités d’application aux élèves et aux parents. </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Si le refus de suivre la demande de recours interne se base sur le manque d’éléments nouveaux, il faudra s’assurer que la motivation permet aux parents et à l’élève de bien comprendre la décision du Conseil de classe ou du Jury de qualification. Si tel n’était pas le cas, il faudra veiller à améliorer la motivation pour permettre une compréhension optimale.</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Il convient également de s'assurer que l'auteur de la demande de conciliation (procédure interne) est bien habilité à le faire. Les élèves majeurs ont l'obligation d'effectuer leur demande de recours interne et externe en personne.</w:t>
      </w:r>
    </w:p>
    <w:p>
      <w:pPr>
        <w:spacing w:line="360" w:lineRule="auto"/>
        <w:jc w:val="both"/>
        <w:rPr>
          <w:rFonts w:ascii="Georgia" w:hAnsi="Georgia" w:cs="Arial"/>
          <w:sz w:val="22"/>
          <w:szCs w:val="22"/>
          <w:u w:val="single"/>
        </w:rPr>
      </w:pPr>
    </w:p>
    <w:p>
      <w:pPr>
        <w:spacing w:line="360" w:lineRule="auto"/>
        <w:jc w:val="both"/>
        <w:rPr>
          <w:rFonts w:ascii="Georgia" w:hAnsi="Georgia" w:cs="Arial"/>
          <w:sz w:val="22"/>
          <w:szCs w:val="22"/>
        </w:rPr>
      </w:pPr>
      <w:r>
        <w:rPr>
          <w:rFonts w:ascii="Georgia" w:hAnsi="Georgia" w:cs="Arial"/>
          <w:sz w:val="22"/>
          <w:szCs w:val="22"/>
        </w:rPr>
        <w:t>Le Chef d'établissement devra donc vérifier que les parents sont bien habilités à introduire une demande de conciliation interne et refuser une demande formulée par les parents d'un élève majeur à moins que celui-ci ne s'y associe formellement.</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Une proposition de formulaire pouvant être remis aux parents ou à l’élève majeur pouvant être intégré au règlement des études est également annexé à la présente circulaire.</w:t>
      </w:r>
    </w:p>
    <w:p>
      <w:pPr>
        <w:spacing w:line="360" w:lineRule="auto"/>
        <w:jc w:val="both"/>
        <w:rPr>
          <w:rFonts w:ascii="Georgia" w:hAnsi="Georgia" w:cs="Arial"/>
          <w:sz w:val="22"/>
          <w:szCs w:val="22"/>
        </w:rPr>
      </w:pPr>
    </w:p>
    <w:p>
      <w:pPr>
        <w:spacing w:line="360" w:lineRule="auto"/>
        <w:jc w:val="both"/>
        <w:rPr>
          <w:rFonts w:ascii="Georgia" w:hAnsi="Georgia" w:cs="Arial"/>
          <w:b/>
          <w:sz w:val="28"/>
          <w:szCs w:val="28"/>
          <w:u w:val="single"/>
        </w:rPr>
      </w:pPr>
      <w:r>
        <w:rPr>
          <w:rFonts w:ascii="Georgia" w:hAnsi="Georgia" w:cs="Arial"/>
          <w:b/>
          <w:sz w:val="28"/>
          <w:szCs w:val="28"/>
          <w:u w:val="single"/>
        </w:rPr>
        <w:t>E. Conseils de recours contre les décisions des Conseils de classe</w:t>
      </w:r>
    </w:p>
    <w:p>
      <w:pPr>
        <w:spacing w:line="360" w:lineRule="auto"/>
        <w:jc w:val="both"/>
        <w:rPr>
          <w:rFonts w:ascii="Georgia" w:hAnsi="Georgia" w:cs="Arial"/>
          <w:sz w:val="22"/>
          <w:szCs w:val="22"/>
        </w:rPr>
      </w:pPr>
    </w:p>
    <w:p>
      <w:pPr>
        <w:numPr>
          <w:ilvl w:val="2"/>
          <w:numId w:val="30"/>
        </w:numPr>
        <w:tabs>
          <w:tab w:val="clear" w:pos="2340"/>
          <w:tab w:val="num" w:pos="180"/>
        </w:tabs>
        <w:spacing w:line="360" w:lineRule="auto"/>
        <w:ind w:left="922" w:hanging="1102"/>
        <w:jc w:val="both"/>
        <w:rPr>
          <w:rFonts w:ascii="Georgia" w:hAnsi="Georgia" w:cs="Arial"/>
          <w:sz w:val="20"/>
          <w:szCs w:val="20"/>
          <w:u w:val="single"/>
        </w:rPr>
      </w:pPr>
      <w:r>
        <w:rPr>
          <w:rFonts w:ascii="Georgia" w:hAnsi="Georgia" w:cs="Arial"/>
          <w:sz w:val="20"/>
          <w:szCs w:val="20"/>
          <w:u w:val="single"/>
        </w:rPr>
        <w:t>INTRODUCTION DES RECOURS</w:t>
      </w:r>
    </w:p>
    <w:p>
      <w:pPr>
        <w:spacing w:line="360" w:lineRule="auto"/>
        <w:ind w:left="360"/>
        <w:jc w:val="both"/>
        <w:rPr>
          <w:rFonts w:ascii="Georgia" w:hAnsi="Georgia" w:cs="Arial"/>
          <w:b/>
          <w:sz w:val="22"/>
          <w:szCs w:val="22"/>
          <w:u w:val="single"/>
        </w:rPr>
      </w:pPr>
    </w:p>
    <w:p>
      <w:pPr>
        <w:spacing w:line="360" w:lineRule="auto"/>
        <w:jc w:val="both"/>
        <w:rPr>
          <w:rFonts w:ascii="Georgia" w:hAnsi="Georgia" w:cs="Arial"/>
          <w:sz w:val="22"/>
          <w:szCs w:val="22"/>
        </w:rPr>
      </w:pPr>
      <w:r>
        <w:rPr>
          <w:rFonts w:ascii="Georgia" w:hAnsi="Georgia" w:cs="Arial"/>
          <w:bCs/>
          <w:sz w:val="22"/>
          <w:szCs w:val="22"/>
        </w:rPr>
        <w:t xml:space="preserve">Le </w:t>
      </w:r>
      <w:r>
        <w:rPr>
          <w:rStyle w:val="highlightedsearchterm"/>
          <w:rFonts w:ascii="Georgia" w:hAnsi="Georgia" w:cs="Arial"/>
          <w:bCs/>
          <w:sz w:val="22"/>
          <w:szCs w:val="22"/>
        </w:rPr>
        <w:t>recours</w:t>
      </w:r>
      <w:r>
        <w:rPr>
          <w:rFonts w:ascii="Georgia" w:hAnsi="Georgia" w:cs="Arial"/>
          <w:bCs/>
          <w:sz w:val="22"/>
          <w:szCs w:val="22"/>
        </w:rPr>
        <w:t xml:space="preserve"> externe</w:t>
      </w:r>
      <w:r>
        <w:rPr>
          <w:rFonts w:ascii="Georgia" w:hAnsi="Georgia" w:cs="Arial"/>
          <w:sz w:val="22"/>
          <w:szCs w:val="22"/>
        </w:rPr>
        <w:t xml:space="preserve"> répond à une procédure bien particulière qu'il faut impérativement respecter. Pour autant que la procédure interne de conciliation ait été menée, le recours externe doit être introduit par l'élève majeur ou ses parents s’il est mineur, par envoi recommandé,</w:t>
      </w:r>
    </w:p>
    <w:p>
      <w:pPr>
        <w:pStyle w:val="Paragraphedeliste"/>
        <w:numPr>
          <w:ilvl w:val="2"/>
          <w:numId w:val="36"/>
        </w:numPr>
        <w:spacing w:line="360" w:lineRule="auto"/>
        <w:jc w:val="both"/>
        <w:rPr>
          <w:rFonts w:ascii="Georgia" w:hAnsi="Georgia" w:cs="Arial"/>
          <w:sz w:val="22"/>
          <w:szCs w:val="22"/>
        </w:rPr>
      </w:pPr>
      <w:r>
        <w:rPr>
          <w:rFonts w:ascii="Georgia" w:hAnsi="Georgia" w:cs="Arial"/>
          <w:noProof/>
          <w:sz w:val="22"/>
          <w:szCs w:val="22"/>
          <w:lang w:val="fr-BE" w:eastAsia="fr-BE"/>
        </w:rPr>
        <mc:AlternateContent>
          <mc:Choice Requires="wps">
            <w:drawing>
              <wp:anchor distT="0" distB="0" distL="114300" distR="114300" simplePos="0" relativeHeight="251660288" behindDoc="0" locked="0" layoutInCell="1" allowOverlap="1">
                <wp:simplePos x="0" y="0"/>
                <wp:positionH relativeFrom="column">
                  <wp:posOffset>-305207</wp:posOffset>
                </wp:positionH>
                <wp:positionV relativeFrom="paragraph">
                  <wp:posOffset>12412</wp:posOffset>
                </wp:positionV>
                <wp:extent cx="448573" cy="534838"/>
                <wp:effectExtent l="57150" t="38100" r="85090" b="93980"/>
                <wp:wrapNone/>
                <wp:docPr id="4" name="Éclair 4"/>
                <wp:cNvGraphicFramePr/>
                <a:graphic xmlns:a="http://schemas.openxmlformats.org/drawingml/2006/main">
                  <a:graphicData uri="http://schemas.microsoft.com/office/word/2010/wordprocessingShape">
                    <wps:wsp>
                      <wps:cNvSpPr/>
                      <wps:spPr>
                        <a:xfrm>
                          <a:off x="0" y="0"/>
                          <a:ext cx="448573" cy="534838"/>
                        </a:xfrm>
                        <a:prstGeom prst="lightningBolt">
                          <a:avLst/>
                        </a:prstGeom>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Éclair 4" o:spid="_x0000_s1026" type="#_x0000_t73" style="position:absolute;margin-left:-24.05pt;margin-top:1pt;width:35.3pt;height:42.1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" fillcolor="#cdddac [1622]" strokecolor="#94b64e [3046]">
                <v:fill color2="#f0f4e6 [502]" rotate="t" angle="180" colors="0 #dafda7;22938f #e4fdc2;1 #f5ffe6" focus="100%" type="gradient"/>
                <v:shadow on="t" color="black" opacity="24903f" origin=",.5" offset="0,.55556mm"/>
              </v:shape>
            </w:pict>
          </mc:Fallback>
        </mc:AlternateContent>
      </w:r>
      <w:r>
        <w:rPr>
          <w:rFonts w:ascii="Georgia" w:hAnsi="Georgia" w:cs="Arial"/>
          <w:sz w:val="22"/>
          <w:szCs w:val="22"/>
        </w:rPr>
        <w:t>En ce qui concerne les décisions de première session : jusqu’au 10 juillet ou jusqu’au 1</w:t>
      </w:r>
      <w:r>
        <w:rPr>
          <w:rFonts w:ascii="Georgia" w:hAnsi="Georgia" w:cs="Arial"/>
          <w:sz w:val="22"/>
          <w:szCs w:val="22"/>
          <w:vertAlign w:val="superscript"/>
        </w:rPr>
        <w:t>er</w:t>
      </w:r>
      <w:r>
        <w:rPr>
          <w:rFonts w:ascii="Georgia" w:hAnsi="Georgia" w:cs="Arial"/>
          <w:sz w:val="22"/>
          <w:szCs w:val="22"/>
        </w:rPr>
        <w:t xml:space="preserve"> jour ouvrable qui le suit si celui est un dimanche ;</w:t>
      </w:r>
    </w:p>
    <w:p>
      <w:pPr>
        <w:pStyle w:val="Paragraphedeliste"/>
        <w:numPr>
          <w:ilvl w:val="2"/>
          <w:numId w:val="36"/>
        </w:numPr>
        <w:spacing w:line="360" w:lineRule="auto"/>
        <w:jc w:val="both"/>
        <w:rPr>
          <w:rFonts w:ascii="Georgia" w:hAnsi="Georgia" w:cs="Arial"/>
          <w:sz w:val="22"/>
          <w:szCs w:val="22"/>
        </w:rPr>
      </w:pPr>
      <w:r>
        <w:rPr>
          <w:rFonts w:ascii="Georgia" w:hAnsi="Georgia" w:cs="Arial"/>
          <w:sz w:val="22"/>
          <w:szCs w:val="22"/>
        </w:rPr>
        <w:t>En ce qui concerne les décisions de seconde session : jusqu’au 5</w:t>
      </w:r>
      <w:r>
        <w:rPr>
          <w:rFonts w:ascii="Georgia" w:hAnsi="Georgia" w:cs="Arial"/>
          <w:sz w:val="22"/>
          <w:szCs w:val="22"/>
          <w:vertAlign w:val="superscript"/>
        </w:rPr>
        <w:t>ème</w:t>
      </w:r>
      <w:r>
        <w:rPr>
          <w:rFonts w:ascii="Georgia" w:hAnsi="Georgia" w:cs="Arial"/>
          <w:sz w:val="22"/>
          <w:szCs w:val="22"/>
        </w:rPr>
        <w:t xml:space="preserve"> jour ouvrable scolaire qui suit la notification de la décision. </w:t>
      </w:r>
    </w:p>
    <w:p>
      <w:pPr>
        <w:spacing w:line="360" w:lineRule="auto"/>
        <w:jc w:val="both"/>
        <w:rPr>
          <w:rFonts w:ascii="Georgia" w:hAnsi="Georgia" w:cs="Arial"/>
          <w:sz w:val="22"/>
          <w:szCs w:val="22"/>
        </w:rPr>
      </w:pPr>
      <w:r>
        <w:rPr>
          <w:rFonts w:ascii="Georgia" w:hAnsi="Georgia" w:cs="Arial"/>
          <w:sz w:val="22"/>
          <w:szCs w:val="22"/>
        </w:rPr>
        <w:t xml:space="preserve">A l’adresse suivante : </w:t>
      </w:r>
    </w:p>
    <w:p>
      <w:pPr>
        <w:spacing w:line="360" w:lineRule="auto"/>
        <w:ind w:firstLine="708"/>
        <w:jc w:val="both"/>
        <w:rPr>
          <w:rFonts w:ascii="Georgia" w:hAnsi="Georgia" w:cs="Arial"/>
          <w:sz w:val="22"/>
          <w:szCs w:val="22"/>
        </w:rPr>
      </w:pPr>
      <w:r>
        <w:rPr>
          <w:rFonts w:ascii="Georgia" w:hAnsi="Georgia" w:cs="Arial"/>
          <w:sz w:val="22"/>
          <w:szCs w:val="22"/>
        </w:rPr>
        <w:t>Direction générale de l’Enseignement obligatoire</w:t>
      </w:r>
    </w:p>
    <w:p>
      <w:pPr>
        <w:spacing w:line="360" w:lineRule="auto"/>
        <w:ind w:left="708"/>
        <w:jc w:val="both"/>
        <w:rPr>
          <w:rFonts w:ascii="Georgia" w:hAnsi="Georgia" w:cs="Arial"/>
          <w:sz w:val="22"/>
          <w:szCs w:val="22"/>
        </w:rPr>
      </w:pPr>
      <w:r>
        <w:rPr>
          <w:rFonts w:ascii="Georgia" w:hAnsi="Georgia" w:cs="Arial"/>
          <w:sz w:val="22"/>
          <w:szCs w:val="22"/>
        </w:rPr>
        <w:t>Conseil de recours contre les décisions des conseils de classe de l'enseignement secondaire – Enseignement de caractère soit confessionnel, soit non confessionnel (à préciser)</w:t>
      </w:r>
    </w:p>
    <w:p>
      <w:pPr>
        <w:spacing w:line="360" w:lineRule="auto"/>
        <w:ind w:firstLine="708"/>
        <w:jc w:val="both"/>
        <w:rPr>
          <w:rFonts w:ascii="Georgia" w:hAnsi="Georgia" w:cs="Arial"/>
          <w:b/>
          <w:sz w:val="22"/>
          <w:szCs w:val="22"/>
        </w:rPr>
      </w:pPr>
      <w:r>
        <w:rPr>
          <w:rFonts w:ascii="Georgia" w:hAnsi="Georgia" w:cs="Arial"/>
          <w:b/>
          <w:sz w:val="22"/>
          <w:szCs w:val="22"/>
        </w:rPr>
        <w:t>Bureau 1F140</w:t>
      </w:r>
    </w:p>
    <w:p>
      <w:pPr>
        <w:spacing w:line="360" w:lineRule="auto"/>
        <w:ind w:firstLine="708"/>
        <w:jc w:val="both"/>
        <w:rPr>
          <w:rFonts w:ascii="Georgia" w:hAnsi="Georgia" w:cs="Arial"/>
          <w:sz w:val="22"/>
          <w:szCs w:val="22"/>
        </w:rPr>
      </w:pPr>
      <w:r>
        <w:rPr>
          <w:rFonts w:ascii="Georgia" w:hAnsi="Georgia" w:cs="Arial"/>
          <w:sz w:val="22"/>
          <w:szCs w:val="22"/>
        </w:rPr>
        <w:t>Rue Adolphe Lavallée, 1</w:t>
      </w:r>
    </w:p>
    <w:p>
      <w:pPr>
        <w:spacing w:line="360" w:lineRule="auto"/>
        <w:ind w:firstLine="708"/>
        <w:jc w:val="both"/>
        <w:rPr>
          <w:rFonts w:ascii="Georgia" w:hAnsi="Georgia" w:cs="Arial"/>
          <w:sz w:val="22"/>
          <w:szCs w:val="22"/>
        </w:rPr>
      </w:pPr>
      <w:r>
        <w:rPr>
          <w:rFonts w:ascii="Georgia" w:hAnsi="Georgia" w:cs="Arial"/>
          <w:sz w:val="22"/>
          <w:szCs w:val="22"/>
        </w:rPr>
        <w:t xml:space="preserve">1080 BRUXELLES </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La lettre recommandée comprendra la motivation précise de la contestation, ainsi que toute pièce relative au seul élève concerné et de nature à éclairer le Conseil de recours.</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Le recours ne peut comprendre des pièces relatives aux décisions du Conseil de classe portant sur d’autres élèves. Copie des pièces délivrées par l'école au cours et à l'issue de la procédure interne sera jointe.</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 xml:space="preserve">L'élève ou les parents adresseront au Chef d’établissement, le même jour et par envoi recommandé, une copie de leur lettre au Conseil de recours. </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Le Conseil de recours siègera :</w:t>
      </w:r>
    </w:p>
    <w:p>
      <w:pPr>
        <w:numPr>
          <w:ilvl w:val="2"/>
          <w:numId w:val="36"/>
        </w:numPr>
        <w:spacing w:line="360" w:lineRule="auto"/>
        <w:ind w:left="540" w:hanging="540"/>
        <w:jc w:val="both"/>
        <w:rPr>
          <w:rFonts w:ascii="Georgia" w:hAnsi="Georgia" w:cs="Arial"/>
          <w:sz w:val="22"/>
          <w:szCs w:val="22"/>
        </w:rPr>
      </w:pPr>
      <w:r>
        <w:rPr>
          <w:rFonts w:ascii="Georgia" w:hAnsi="Georgia" w:cs="Arial"/>
          <w:sz w:val="22"/>
          <w:szCs w:val="22"/>
        </w:rPr>
        <w:t xml:space="preserve">entre le </w:t>
      </w:r>
      <w:r>
        <w:rPr>
          <w:rFonts w:ascii="Georgia" w:hAnsi="Georgia" w:cs="Arial"/>
          <w:b/>
          <w:sz w:val="22"/>
          <w:szCs w:val="22"/>
        </w:rPr>
        <w:t>16 août et le 30 août</w:t>
      </w:r>
      <w:r>
        <w:rPr>
          <w:rFonts w:ascii="Georgia" w:hAnsi="Georgia" w:cs="Arial"/>
          <w:sz w:val="22"/>
          <w:szCs w:val="22"/>
        </w:rPr>
        <w:t xml:space="preserve"> pour examiner les décisions des Conseils de classe relatives aux délibérations de juin ;</w:t>
      </w:r>
    </w:p>
    <w:p>
      <w:pPr>
        <w:numPr>
          <w:ilvl w:val="2"/>
          <w:numId w:val="36"/>
        </w:numPr>
        <w:spacing w:line="360" w:lineRule="auto"/>
        <w:ind w:left="540" w:hanging="540"/>
        <w:jc w:val="both"/>
        <w:rPr>
          <w:rFonts w:ascii="Georgia" w:hAnsi="Georgia" w:cs="Arial"/>
          <w:sz w:val="22"/>
          <w:szCs w:val="22"/>
        </w:rPr>
      </w:pPr>
      <w:r>
        <w:rPr>
          <w:rFonts w:ascii="Georgia" w:hAnsi="Georgia" w:cs="Arial"/>
          <w:sz w:val="22"/>
          <w:szCs w:val="22"/>
        </w:rPr>
        <w:t xml:space="preserve">entre le </w:t>
      </w:r>
      <w:r>
        <w:rPr>
          <w:rFonts w:ascii="Georgia" w:hAnsi="Georgia" w:cs="Arial"/>
          <w:b/>
          <w:sz w:val="22"/>
          <w:szCs w:val="22"/>
        </w:rPr>
        <w:t>16 septembre et le 10 octobre</w:t>
      </w:r>
      <w:r>
        <w:rPr>
          <w:rFonts w:ascii="Georgia" w:hAnsi="Georgia" w:cs="Arial"/>
          <w:sz w:val="22"/>
          <w:szCs w:val="22"/>
        </w:rPr>
        <w:t xml:space="preserve"> pour les décisions des Conseils de classe relatives aux délibérations de septembre. </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Une proposition de formulaire est annexée à la présente circulaire. Celui-ci pouvant être remis à l’élève majeur ou à ses parents et être intégré au règlement des études.</w:t>
      </w:r>
    </w:p>
    <w:p>
      <w:pPr>
        <w:spacing w:line="360" w:lineRule="auto"/>
        <w:jc w:val="both"/>
        <w:rPr>
          <w:rFonts w:ascii="Georgia" w:hAnsi="Georgia" w:cs="Arial"/>
          <w:sz w:val="22"/>
          <w:szCs w:val="22"/>
        </w:rPr>
      </w:pPr>
    </w:p>
    <w:p>
      <w:pPr>
        <w:numPr>
          <w:ilvl w:val="2"/>
          <w:numId w:val="30"/>
        </w:numPr>
        <w:tabs>
          <w:tab w:val="clear" w:pos="2340"/>
          <w:tab w:val="num" w:pos="180"/>
        </w:tabs>
        <w:spacing w:line="360" w:lineRule="auto"/>
        <w:ind w:left="922" w:hanging="1102"/>
        <w:jc w:val="both"/>
        <w:rPr>
          <w:rFonts w:ascii="Georgia" w:hAnsi="Georgia" w:cs="Arial"/>
          <w:sz w:val="22"/>
          <w:szCs w:val="22"/>
          <w:u w:val="single"/>
        </w:rPr>
      </w:pPr>
      <w:r>
        <w:rPr>
          <w:rFonts w:ascii="Georgia" w:hAnsi="Georgia" w:cs="Arial"/>
          <w:sz w:val="22"/>
          <w:szCs w:val="22"/>
          <w:u w:val="single"/>
        </w:rPr>
        <w:t>RECOURS POSSIBLES POUR LE PREMIER DEGRE</w:t>
      </w:r>
    </w:p>
    <w:p>
      <w:pPr>
        <w:spacing w:line="360" w:lineRule="auto"/>
        <w:jc w:val="both"/>
        <w:rPr>
          <w:rFonts w:ascii="Georgia" w:hAnsi="Georgia" w:cs="Arial"/>
          <w:sz w:val="22"/>
          <w:szCs w:val="22"/>
        </w:rPr>
      </w:pPr>
    </w:p>
    <w:p>
      <w:pPr>
        <w:spacing w:line="360" w:lineRule="auto"/>
        <w:jc w:val="both"/>
        <w:rPr>
          <w:rStyle w:val="Accentuation"/>
          <w:rFonts w:ascii="Georgia" w:hAnsi="Georgia" w:cs="Arial"/>
          <w:b w:val="0"/>
          <w:sz w:val="22"/>
          <w:szCs w:val="22"/>
        </w:rPr>
      </w:pPr>
      <w:r>
        <w:rPr>
          <w:rFonts w:ascii="Georgia" w:hAnsi="Georgia" w:cs="Arial"/>
          <w:sz w:val="22"/>
          <w:szCs w:val="22"/>
        </w:rPr>
        <w:t>Le Décret du 30 juin 2006 relatif à l'organisation pédagogique du 1</w:t>
      </w:r>
      <w:r>
        <w:rPr>
          <w:rFonts w:ascii="Georgia" w:hAnsi="Georgia" w:cs="Arial"/>
          <w:sz w:val="22"/>
          <w:szCs w:val="22"/>
          <w:vertAlign w:val="superscript"/>
        </w:rPr>
        <w:t>er</w:t>
      </w:r>
      <w:r>
        <w:rPr>
          <w:rFonts w:ascii="Georgia" w:hAnsi="Georgia" w:cs="Arial"/>
          <w:sz w:val="22"/>
          <w:szCs w:val="22"/>
        </w:rPr>
        <w:t xml:space="preserve"> degré de l'Enseignement secondaire </w:t>
      </w:r>
      <w:r>
        <w:rPr>
          <w:rStyle w:val="Accentuation"/>
          <w:rFonts w:ascii="Georgia" w:hAnsi="Georgia" w:cs="Arial"/>
          <w:b w:val="0"/>
          <w:sz w:val="22"/>
          <w:szCs w:val="22"/>
        </w:rPr>
        <w:t>module les possibilités de recours contre les décisions des Conseils de classe.</w:t>
      </w:r>
    </w:p>
    <w:p>
      <w:pPr>
        <w:spacing w:line="360" w:lineRule="auto"/>
        <w:jc w:val="both"/>
        <w:rPr>
          <w:rStyle w:val="Accentuation"/>
          <w:rFonts w:ascii="Georgia" w:hAnsi="Georgia" w:cs="Arial"/>
          <w:b w:val="0"/>
          <w:sz w:val="22"/>
          <w:szCs w:val="22"/>
        </w:rPr>
      </w:pPr>
    </w:p>
    <w:p>
      <w:pPr>
        <w:spacing w:line="360" w:lineRule="auto"/>
        <w:jc w:val="both"/>
        <w:rPr>
          <w:rFonts w:ascii="Georgia" w:hAnsi="Georgia" w:cs="Arial"/>
          <w:bCs/>
          <w:sz w:val="22"/>
          <w:szCs w:val="22"/>
        </w:rPr>
      </w:pPr>
      <w:r>
        <w:rPr>
          <w:rFonts w:ascii="Georgia" w:hAnsi="Georgia"/>
          <w:b/>
          <w:bCs/>
          <w:sz w:val="22"/>
          <w:szCs w:val="22"/>
        </w:rPr>
        <w:t xml:space="preserve">Dans le cas d'un recours contre la décision de </w:t>
      </w:r>
      <w:r>
        <w:rPr>
          <w:rFonts w:ascii="Georgia" w:hAnsi="Georgia"/>
          <w:bCs/>
          <w:sz w:val="22"/>
          <w:szCs w:val="22"/>
        </w:rPr>
        <w:t>refus d'octroi du CEB</w:t>
      </w:r>
      <w:r>
        <w:rPr>
          <w:rFonts w:ascii="Georgia" w:hAnsi="Georgia"/>
          <w:b/>
          <w:bCs/>
          <w:sz w:val="22"/>
          <w:szCs w:val="22"/>
        </w:rPr>
        <w:t xml:space="preserve">, le Chef d'établissement se référera à la procédure de recours explicitée par la </w:t>
      </w:r>
      <w:r>
        <w:rPr>
          <w:rFonts w:ascii="Georgia" w:hAnsi="Georgia"/>
          <w:bCs/>
          <w:sz w:val="22"/>
          <w:szCs w:val="22"/>
        </w:rPr>
        <w:t>Circulaire n°6547 du 21/02/2018 ayant pour objet « Dispositions relatives à l'octroi du Certificat d'études de base (CEB) à l'issue de l'épreuve externe commune pour l'année scolaire 2017-2018 »</w:t>
      </w:r>
      <w:r>
        <w:rPr>
          <w:rFonts w:ascii="Georgia" w:hAnsi="Georgia"/>
          <w:b/>
          <w:bCs/>
          <w:sz w:val="22"/>
          <w:szCs w:val="22"/>
        </w:rPr>
        <w:t>.</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Les cas où il est possible d'introduire un recours au sein du premier degré sont les suivants :</w:t>
      </w:r>
    </w:p>
    <w:p>
      <w:pPr>
        <w:spacing w:line="360" w:lineRule="auto"/>
        <w:rPr>
          <w:rFonts w:ascii="Georgia" w:hAnsi="Georgia" w:cs="Arial"/>
          <w:sz w:val="22"/>
          <w:szCs w:val="22"/>
        </w:rPr>
      </w:pPr>
    </w:p>
    <w:p>
      <w:pPr>
        <w:numPr>
          <w:ilvl w:val="0"/>
          <w:numId w:val="3"/>
        </w:numPr>
        <w:spacing w:line="360" w:lineRule="auto"/>
        <w:rPr>
          <w:rFonts w:ascii="Georgia" w:hAnsi="Georgia" w:cs="Arial"/>
          <w:sz w:val="22"/>
          <w:szCs w:val="22"/>
          <w:u w:val="single"/>
        </w:rPr>
      </w:pPr>
      <w:r>
        <w:rPr>
          <w:rFonts w:ascii="Georgia" w:hAnsi="Georgia" w:cs="Arial"/>
          <w:sz w:val="22"/>
          <w:szCs w:val="22"/>
          <w:u w:val="single"/>
        </w:rPr>
        <w:t>1</w:t>
      </w:r>
      <w:r>
        <w:rPr>
          <w:rFonts w:ascii="Georgia" w:hAnsi="Georgia" w:cs="Arial"/>
          <w:sz w:val="22"/>
          <w:szCs w:val="22"/>
          <w:u w:val="single"/>
          <w:vertAlign w:val="superscript"/>
        </w:rPr>
        <w:t>ère</w:t>
      </w:r>
      <w:r>
        <w:rPr>
          <w:rFonts w:ascii="Georgia" w:hAnsi="Georgia" w:cs="Arial"/>
          <w:sz w:val="22"/>
          <w:szCs w:val="22"/>
          <w:u w:val="single"/>
        </w:rPr>
        <w:t xml:space="preserve"> année différenciée (1</w:t>
      </w:r>
      <w:r>
        <w:rPr>
          <w:rFonts w:ascii="Georgia" w:hAnsi="Georgia" w:cs="Arial"/>
          <w:sz w:val="22"/>
          <w:szCs w:val="22"/>
          <w:u w:val="single"/>
          <w:vertAlign w:val="superscript"/>
        </w:rPr>
        <w:t>ère</w:t>
      </w:r>
      <w:r>
        <w:rPr>
          <w:rFonts w:ascii="Georgia" w:hAnsi="Georgia" w:cs="Arial"/>
          <w:sz w:val="22"/>
          <w:szCs w:val="22"/>
          <w:u w:val="single"/>
        </w:rPr>
        <w:t xml:space="preserve"> D)</w:t>
      </w:r>
      <w:r>
        <w:rPr>
          <w:rFonts w:ascii="Georgia" w:hAnsi="Georgia" w:cs="Arial"/>
          <w:sz w:val="22"/>
          <w:szCs w:val="22"/>
        </w:rPr>
        <w:t xml:space="preserve"> </w:t>
      </w:r>
    </w:p>
    <w:p>
      <w:pPr>
        <w:widowControl w:val="0"/>
        <w:numPr>
          <w:ilvl w:val="0"/>
          <w:numId w:val="1"/>
        </w:numPr>
        <w:spacing w:line="360" w:lineRule="auto"/>
        <w:jc w:val="both"/>
        <w:rPr>
          <w:rFonts w:ascii="Georgia" w:hAnsi="Georgia" w:cs="Arial"/>
          <w:sz w:val="22"/>
          <w:szCs w:val="22"/>
        </w:rPr>
      </w:pPr>
      <w:r>
        <w:rPr>
          <w:rFonts w:ascii="Georgia" w:hAnsi="Georgia" w:cs="Arial"/>
          <w:sz w:val="22"/>
          <w:szCs w:val="22"/>
        </w:rPr>
        <w:t>un recours contre la décision de refus d'octroi du CEB.</w:t>
      </w:r>
    </w:p>
    <w:p>
      <w:pPr>
        <w:widowControl w:val="0"/>
        <w:spacing w:line="360" w:lineRule="auto"/>
        <w:ind w:left="360"/>
        <w:jc w:val="both"/>
        <w:rPr>
          <w:rFonts w:ascii="Georgia" w:hAnsi="Georgia" w:cs="Arial"/>
          <w:sz w:val="22"/>
          <w:szCs w:val="22"/>
        </w:rPr>
      </w:pPr>
    </w:p>
    <w:p>
      <w:pPr>
        <w:numPr>
          <w:ilvl w:val="0"/>
          <w:numId w:val="3"/>
        </w:numPr>
        <w:spacing w:line="360" w:lineRule="auto"/>
        <w:jc w:val="both"/>
        <w:rPr>
          <w:rFonts w:ascii="Georgia" w:hAnsi="Georgia" w:cs="Arial"/>
          <w:sz w:val="22"/>
          <w:szCs w:val="22"/>
          <w:u w:val="single"/>
        </w:rPr>
      </w:pPr>
      <w:r>
        <w:rPr>
          <w:rFonts w:ascii="Georgia" w:hAnsi="Georgia" w:cs="Arial"/>
          <w:sz w:val="22"/>
          <w:szCs w:val="22"/>
          <w:u w:val="single"/>
        </w:rPr>
        <w:t>2</w:t>
      </w:r>
      <w:r>
        <w:rPr>
          <w:rFonts w:ascii="Georgia" w:hAnsi="Georgia" w:cs="Arial"/>
          <w:sz w:val="22"/>
          <w:szCs w:val="22"/>
          <w:u w:val="single"/>
          <w:vertAlign w:val="superscript"/>
        </w:rPr>
        <w:t>ème</w:t>
      </w:r>
      <w:r>
        <w:rPr>
          <w:rFonts w:ascii="Georgia" w:hAnsi="Georgia" w:cs="Arial"/>
          <w:sz w:val="22"/>
          <w:szCs w:val="22"/>
          <w:u w:val="single"/>
        </w:rPr>
        <w:t xml:space="preserve"> année commune (2</w:t>
      </w:r>
      <w:r>
        <w:rPr>
          <w:rFonts w:ascii="Georgia" w:hAnsi="Georgia" w:cs="Arial"/>
          <w:sz w:val="22"/>
          <w:szCs w:val="22"/>
          <w:u w:val="single"/>
          <w:vertAlign w:val="superscript"/>
        </w:rPr>
        <w:t>ème</w:t>
      </w:r>
      <w:r>
        <w:rPr>
          <w:rFonts w:ascii="Georgia" w:hAnsi="Georgia" w:cs="Arial"/>
          <w:sz w:val="22"/>
          <w:szCs w:val="22"/>
          <w:u w:val="single"/>
        </w:rPr>
        <w:t xml:space="preserve"> C)</w:t>
      </w:r>
    </w:p>
    <w:p>
      <w:pPr>
        <w:widowControl w:val="0"/>
        <w:numPr>
          <w:ilvl w:val="0"/>
          <w:numId w:val="1"/>
        </w:numPr>
        <w:spacing w:line="360" w:lineRule="auto"/>
        <w:jc w:val="both"/>
        <w:rPr>
          <w:rFonts w:ascii="Georgia" w:hAnsi="Georgia" w:cs="Arial"/>
          <w:sz w:val="22"/>
          <w:szCs w:val="22"/>
        </w:rPr>
      </w:pPr>
      <w:r>
        <w:rPr>
          <w:rFonts w:ascii="Georgia" w:hAnsi="Georgia" w:cs="Arial"/>
          <w:sz w:val="22"/>
          <w:szCs w:val="22"/>
        </w:rPr>
        <w:t xml:space="preserve">un recours contre le refus d'octroi du </w:t>
      </w:r>
      <w:r>
        <w:rPr>
          <w:rStyle w:val="Accentuation"/>
          <w:rFonts w:ascii="Georgia" w:hAnsi="Georgia" w:cs="Arial"/>
          <w:b w:val="0"/>
          <w:sz w:val="22"/>
          <w:szCs w:val="22"/>
        </w:rPr>
        <w:t>certificat</w:t>
      </w:r>
      <w:r>
        <w:rPr>
          <w:rFonts w:ascii="Georgia" w:hAnsi="Georgia" w:cs="Arial"/>
          <w:sz w:val="22"/>
          <w:szCs w:val="22"/>
        </w:rPr>
        <w:t xml:space="preserve"> d'enseignement du premier degré (CE1D) ;</w:t>
      </w:r>
    </w:p>
    <w:p>
      <w:pPr>
        <w:widowControl w:val="0"/>
        <w:numPr>
          <w:ilvl w:val="0"/>
          <w:numId w:val="1"/>
        </w:numPr>
        <w:spacing w:line="360" w:lineRule="auto"/>
        <w:jc w:val="both"/>
        <w:rPr>
          <w:rFonts w:ascii="Georgia" w:hAnsi="Georgia" w:cs="Arial"/>
          <w:b/>
          <w:sz w:val="22"/>
          <w:szCs w:val="22"/>
          <w:u w:val="single"/>
        </w:rPr>
      </w:pPr>
      <w:r>
        <w:rPr>
          <w:rFonts w:ascii="Georgia" w:hAnsi="Georgia" w:cs="Arial"/>
          <w:sz w:val="22"/>
          <w:szCs w:val="22"/>
        </w:rPr>
        <w:t>un recours contre la définition des formes et sections du Conseil de classe.</w:t>
      </w:r>
    </w:p>
    <w:p>
      <w:pPr>
        <w:widowControl w:val="0"/>
        <w:spacing w:line="360" w:lineRule="auto"/>
        <w:ind w:left="360"/>
        <w:jc w:val="both"/>
        <w:rPr>
          <w:rFonts w:ascii="Georgia" w:hAnsi="Georgia" w:cs="Arial"/>
          <w:b/>
          <w:sz w:val="22"/>
          <w:szCs w:val="22"/>
          <w:u w:val="single"/>
        </w:rPr>
      </w:pPr>
    </w:p>
    <w:p>
      <w:pPr>
        <w:numPr>
          <w:ilvl w:val="0"/>
          <w:numId w:val="3"/>
        </w:numPr>
        <w:spacing w:line="360" w:lineRule="auto"/>
        <w:jc w:val="both"/>
        <w:rPr>
          <w:rFonts w:ascii="Georgia" w:hAnsi="Georgia" w:cs="Arial"/>
          <w:sz w:val="22"/>
          <w:szCs w:val="22"/>
          <w:u w:val="single"/>
        </w:rPr>
      </w:pPr>
      <w:r>
        <w:rPr>
          <w:rFonts w:ascii="Georgia" w:hAnsi="Georgia" w:cs="Arial"/>
          <w:sz w:val="22"/>
          <w:szCs w:val="22"/>
          <w:u w:val="single"/>
        </w:rPr>
        <w:t>2</w:t>
      </w:r>
      <w:r>
        <w:rPr>
          <w:rFonts w:ascii="Georgia" w:hAnsi="Georgia" w:cs="Arial"/>
          <w:sz w:val="22"/>
          <w:szCs w:val="22"/>
          <w:u w:val="single"/>
          <w:vertAlign w:val="superscript"/>
        </w:rPr>
        <w:t>ème</w:t>
      </w:r>
      <w:r>
        <w:rPr>
          <w:rFonts w:ascii="Georgia" w:hAnsi="Georgia" w:cs="Arial"/>
          <w:sz w:val="22"/>
          <w:szCs w:val="22"/>
          <w:u w:val="single"/>
        </w:rPr>
        <w:t xml:space="preserve"> année différenciée (2</w:t>
      </w:r>
      <w:r>
        <w:rPr>
          <w:rFonts w:ascii="Georgia" w:hAnsi="Georgia" w:cs="Arial"/>
          <w:sz w:val="22"/>
          <w:szCs w:val="22"/>
          <w:u w:val="single"/>
          <w:vertAlign w:val="superscript"/>
        </w:rPr>
        <w:t>ème</w:t>
      </w:r>
      <w:r>
        <w:rPr>
          <w:rFonts w:ascii="Georgia" w:hAnsi="Georgia" w:cs="Arial"/>
          <w:sz w:val="22"/>
          <w:szCs w:val="22"/>
          <w:u w:val="single"/>
        </w:rPr>
        <w:t xml:space="preserve"> D)</w:t>
      </w:r>
    </w:p>
    <w:p>
      <w:pPr>
        <w:widowControl w:val="0"/>
        <w:numPr>
          <w:ilvl w:val="0"/>
          <w:numId w:val="1"/>
        </w:numPr>
        <w:spacing w:line="360" w:lineRule="auto"/>
        <w:jc w:val="both"/>
        <w:rPr>
          <w:rFonts w:ascii="Georgia" w:hAnsi="Georgia" w:cs="Arial"/>
          <w:sz w:val="22"/>
          <w:szCs w:val="22"/>
        </w:rPr>
      </w:pPr>
      <w:r>
        <w:rPr>
          <w:rFonts w:ascii="Georgia" w:hAnsi="Georgia" w:cs="Arial"/>
          <w:sz w:val="22"/>
          <w:szCs w:val="22"/>
        </w:rPr>
        <w:t>un recours contre toutes les définitions des formes et sections du Conseil de classe ;</w:t>
      </w:r>
    </w:p>
    <w:p>
      <w:pPr>
        <w:widowControl w:val="0"/>
        <w:numPr>
          <w:ilvl w:val="0"/>
          <w:numId w:val="1"/>
        </w:numPr>
        <w:spacing w:line="360" w:lineRule="auto"/>
        <w:jc w:val="both"/>
        <w:rPr>
          <w:rFonts w:ascii="Georgia" w:hAnsi="Georgia" w:cs="Arial"/>
          <w:sz w:val="22"/>
          <w:szCs w:val="22"/>
        </w:rPr>
      </w:pPr>
      <w:r>
        <w:rPr>
          <w:rFonts w:ascii="Georgia" w:hAnsi="Georgia" w:cs="Arial"/>
          <w:sz w:val="22"/>
          <w:szCs w:val="22"/>
        </w:rPr>
        <w:t xml:space="preserve">un recours contre la décision de refus d'octroi du CEB. </w:t>
      </w:r>
    </w:p>
    <w:p>
      <w:pPr>
        <w:widowControl w:val="0"/>
        <w:spacing w:line="360" w:lineRule="auto"/>
        <w:ind w:left="360"/>
        <w:jc w:val="both"/>
        <w:rPr>
          <w:rFonts w:ascii="Georgia" w:hAnsi="Georgia" w:cs="Arial"/>
          <w:b/>
          <w:sz w:val="22"/>
          <w:szCs w:val="22"/>
          <w:u w:val="single"/>
        </w:rPr>
      </w:pPr>
    </w:p>
    <w:p>
      <w:pPr>
        <w:widowControl w:val="0"/>
        <w:numPr>
          <w:ilvl w:val="0"/>
          <w:numId w:val="3"/>
        </w:numPr>
        <w:spacing w:line="360" w:lineRule="auto"/>
        <w:jc w:val="both"/>
        <w:rPr>
          <w:rFonts w:ascii="Georgia" w:hAnsi="Georgia" w:cs="Arial"/>
          <w:sz w:val="22"/>
          <w:szCs w:val="22"/>
          <w:u w:val="single"/>
        </w:rPr>
      </w:pPr>
      <w:r>
        <w:rPr>
          <w:rFonts w:ascii="Georgia" w:hAnsi="Georgia" w:cs="Arial"/>
          <w:sz w:val="22"/>
          <w:szCs w:val="22"/>
          <w:u w:val="single"/>
        </w:rPr>
        <w:t>2ème année supplémentaire (2</w:t>
      </w:r>
      <w:r>
        <w:rPr>
          <w:rFonts w:ascii="Georgia" w:hAnsi="Georgia" w:cs="Arial"/>
          <w:sz w:val="22"/>
          <w:szCs w:val="22"/>
          <w:u w:val="single"/>
          <w:vertAlign w:val="superscript"/>
        </w:rPr>
        <w:t>ème</w:t>
      </w:r>
      <w:r>
        <w:rPr>
          <w:rFonts w:ascii="Georgia" w:hAnsi="Georgia" w:cs="Arial"/>
          <w:sz w:val="22"/>
          <w:szCs w:val="22"/>
          <w:u w:val="single"/>
        </w:rPr>
        <w:t xml:space="preserve"> S)</w:t>
      </w:r>
      <w:r>
        <w:rPr>
          <w:rFonts w:ascii="Georgia" w:hAnsi="Georgia" w:cs="Arial"/>
          <w:sz w:val="22"/>
          <w:szCs w:val="22"/>
        </w:rPr>
        <w:t xml:space="preserve"> </w:t>
      </w:r>
    </w:p>
    <w:p>
      <w:pPr>
        <w:widowControl w:val="0"/>
        <w:numPr>
          <w:ilvl w:val="0"/>
          <w:numId w:val="1"/>
        </w:numPr>
        <w:spacing w:line="360" w:lineRule="auto"/>
        <w:jc w:val="both"/>
        <w:rPr>
          <w:rFonts w:ascii="Georgia" w:hAnsi="Georgia" w:cs="Arial"/>
          <w:sz w:val="22"/>
          <w:szCs w:val="22"/>
        </w:rPr>
      </w:pPr>
      <w:r>
        <w:rPr>
          <w:rFonts w:ascii="Georgia" w:hAnsi="Georgia" w:cs="Arial"/>
          <w:sz w:val="22"/>
          <w:szCs w:val="22"/>
        </w:rPr>
        <w:t>un recours contre le refus d'octroi du CE1D ;</w:t>
      </w:r>
    </w:p>
    <w:p>
      <w:pPr>
        <w:widowControl w:val="0"/>
        <w:numPr>
          <w:ilvl w:val="0"/>
          <w:numId w:val="1"/>
        </w:numPr>
        <w:spacing w:line="360" w:lineRule="auto"/>
        <w:jc w:val="both"/>
        <w:rPr>
          <w:rFonts w:ascii="Georgia" w:hAnsi="Georgia" w:cs="Arial"/>
          <w:sz w:val="22"/>
          <w:szCs w:val="22"/>
        </w:rPr>
      </w:pPr>
      <w:r>
        <w:rPr>
          <w:rFonts w:ascii="Georgia" w:hAnsi="Georgia" w:cs="Arial"/>
          <w:sz w:val="22"/>
          <w:szCs w:val="22"/>
        </w:rPr>
        <w:t>un recours contre la définition des formes et sections du Conseil de classe.</w:t>
      </w:r>
    </w:p>
    <w:p>
      <w:pPr>
        <w:spacing w:line="360" w:lineRule="auto"/>
        <w:ind w:left="720"/>
        <w:jc w:val="both"/>
        <w:rPr>
          <w:rFonts w:ascii="Georgia" w:hAnsi="Georgia" w:cs="Arial"/>
          <w:i/>
          <w:sz w:val="22"/>
          <w:szCs w:val="22"/>
        </w:rPr>
      </w:pPr>
    </w:p>
    <w:p>
      <w:pPr>
        <w:numPr>
          <w:ilvl w:val="2"/>
          <w:numId w:val="30"/>
        </w:numPr>
        <w:tabs>
          <w:tab w:val="clear" w:pos="2340"/>
          <w:tab w:val="num" w:pos="180"/>
        </w:tabs>
        <w:spacing w:line="360" w:lineRule="auto"/>
        <w:ind w:left="922" w:hanging="1102"/>
        <w:jc w:val="both"/>
        <w:rPr>
          <w:rFonts w:ascii="Georgia" w:hAnsi="Georgia" w:cs="Arial"/>
          <w:sz w:val="22"/>
          <w:szCs w:val="22"/>
          <w:u w:val="single"/>
        </w:rPr>
      </w:pPr>
      <w:r>
        <w:rPr>
          <w:rFonts w:ascii="Georgia" w:hAnsi="Georgia" w:cs="Arial"/>
          <w:sz w:val="22"/>
          <w:szCs w:val="22"/>
          <w:u w:val="single"/>
        </w:rPr>
        <w:t>RECOURS POSSIBLES POUR LES DEUXIEME, TROISIEME ET QUATRIEME DEGRES</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A partir du deuxième degré, ne peuvent faire l’objet d’un recours auprès des Conseils de recours que les décisions suivantes :</w:t>
      </w:r>
    </w:p>
    <w:p>
      <w:pPr>
        <w:numPr>
          <w:ilvl w:val="0"/>
          <w:numId w:val="1"/>
        </w:numPr>
        <w:spacing w:line="360" w:lineRule="auto"/>
        <w:jc w:val="both"/>
        <w:rPr>
          <w:rFonts w:ascii="Georgia" w:hAnsi="Georgia" w:cs="Arial"/>
          <w:sz w:val="22"/>
          <w:szCs w:val="22"/>
        </w:rPr>
      </w:pPr>
      <w:r>
        <w:rPr>
          <w:rFonts w:ascii="Georgia" w:hAnsi="Georgia" w:cs="Arial"/>
          <w:sz w:val="22"/>
          <w:szCs w:val="22"/>
        </w:rPr>
        <w:t xml:space="preserve"> une décision d’échec - octroi d’une attestation d’orientation C ;</w:t>
      </w:r>
    </w:p>
    <w:p>
      <w:pPr>
        <w:numPr>
          <w:ilvl w:val="0"/>
          <w:numId w:val="1"/>
        </w:numPr>
        <w:spacing w:line="360" w:lineRule="auto"/>
        <w:jc w:val="both"/>
        <w:rPr>
          <w:rFonts w:ascii="Georgia" w:hAnsi="Georgia" w:cs="Arial"/>
          <w:sz w:val="22"/>
          <w:szCs w:val="22"/>
        </w:rPr>
      </w:pPr>
      <w:r>
        <w:rPr>
          <w:rFonts w:ascii="Georgia" w:hAnsi="Georgia" w:cs="Arial"/>
          <w:sz w:val="22"/>
          <w:szCs w:val="22"/>
        </w:rPr>
        <w:t xml:space="preserve"> une décision de réussite avec restriction - octroi d’une attestation d’orientation B.</w:t>
      </w:r>
    </w:p>
    <w:p>
      <w:pPr>
        <w:spacing w:line="360" w:lineRule="auto"/>
        <w:ind w:left="360"/>
        <w:jc w:val="both"/>
        <w:rPr>
          <w:rFonts w:ascii="Georgia" w:hAnsi="Georgia" w:cs="Arial"/>
          <w:sz w:val="22"/>
          <w:szCs w:val="22"/>
        </w:rPr>
      </w:pPr>
    </w:p>
    <w:p>
      <w:pPr>
        <w:rPr>
          <w:rFonts w:ascii="Georgia" w:hAnsi="Georgia" w:cs="Arial"/>
          <w:sz w:val="22"/>
          <w:szCs w:val="22"/>
          <w:u w:val="single"/>
        </w:rPr>
      </w:pPr>
      <w:r>
        <w:rPr>
          <w:rFonts w:ascii="Georgia" w:hAnsi="Georgia" w:cs="Arial"/>
          <w:sz w:val="22"/>
          <w:szCs w:val="22"/>
          <w:u w:val="single"/>
        </w:rPr>
        <w:br w:type="page"/>
      </w:r>
    </w:p>
    <w:p>
      <w:pPr>
        <w:numPr>
          <w:ilvl w:val="2"/>
          <w:numId w:val="30"/>
        </w:numPr>
        <w:tabs>
          <w:tab w:val="clear" w:pos="2340"/>
          <w:tab w:val="num" w:pos="180"/>
        </w:tabs>
        <w:spacing w:line="360" w:lineRule="auto"/>
        <w:ind w:left="922" w:hanging="1102"/>
        <w:jc w:val="both"/>
        <w:rPr>
          <w:rFonts w:ascii="Georgia" w:hAnsi="Georgia" w:cs="Arial"/>
          <w:sz w:val="22"/>
          <w:szCs w:val="22"/>
          <w:u w:val="single"/>
        </w:rPr>
      </w:pPr>
      <w:r>
        <w:rPr>
          <w:rFonts w:ascii="Georgia" w:hAnsi="Georgia" w:cs="Arial"/>
          <w:sz w:val="22"/>
          <w:szCs w:val="22"/>
          <w:u w:val="single"/>
        </w:rPr>
        <w:t>CAS N’OUVRANT PAS DROIT AU RECOURS EXTERNE</w:t>
      </w:r>
    </w:p>
    <w:p>
      <w:pPr>
        <w:spacing w:line="360" w:lineRule="auto"/>
        <w:jc w:val="both"/>
        <w:rPr>
          <w:rFonts w:ascii="Georgia" w:hAnsi="Georgia" w:cs="Arial"/>
          <w:sz w:val="22"/>
          <w:szCs w:val="22"/>
        </w:rPr>
      </w:pPr>
    </w:p>
    <w:p>
      <w:pPr>
        <w:numPr>
          <w:ilvl w:val="0"/>
          <w:numId w:val="1"/>
        </w:numPr>
        <w:spacing w:line="360" w:lineRule="auto"/>
        <w:jc w:val="both"/>
        <w:rPr>
          <w:rFonts w:ascii="Georgia" w:hAnsi="Georgia" w:cs="Arial"/>
          <w:sz w:val="22"/>
          <w:szCs w:val="22"/>
        </w:rPr>
      </w:pPr>
      <w:r>
        <w:rPr>
          <w:rFonts w:ascii="Georgia" w:hAnsi="Georgia" w:cs="Arial"/>
          <w:sz w:val="22"/>
          <w:szCs w:val="22"/>
        </w:rPr>
        <w:t>Décision prise à l'issue de la 3</w:t>
      </w:r>
      <w:r>
        <w:rPr>
          <w:rFonts w:ascii="Georgia" w:hAnsi="Georgia" w:cs="Arial"/>
          <w:sz w:val="22"/>
          <w:szCs w:val="22"/>
          <w:vertAlign w:val="superscript"/>
        </w:rPr>
        <w:t>ème</w:t>
      </w:r>
      <w:r>
        <w:rPr>
          <w:rFonts w:ascii="Georgia" w:hAnsi="Georgia" w:cs="Arial"/>
          <w:sz w:val="22"/>
          <w:szCs w:val="22"/>
        </w:rPr>
        <w:t xml:space="preserve"> année de différenciation et d’orientation (3S-DO). </w:t>
      </w:r>
    </w:p>
    <w:p>
      <w:pPr>
        <w:numPr>
          <w:ilvl w:val="0"/>
          <w:numId w:val="1"/>
        </w:numPr>
        <w:spacing w:line="360" w:lineRule="auto"/>
        <w:jc w:val="both"/>
        <w:rPr>
          <w:rFonts w:ascii="Georgia" w:hAnsi="Georgia" w:cs="Arial"/>
          <w:sz w:val="22"/>
          <w:szCs w:val="22"/>
        </w:rPr>
      </w:pPr>
      <w:r>
        <w:rPr>
          <w:rFonts w:ascii="Georgia" w:hAnsi="Georgia" w:cs="Arial"/>
          <w:sz w:val="22"/>
          <w:szCs w:val="22"/>
        </w:rPr>
        <w:t>Décision d’ajournement imposant des épreuves en deuxième session.</w:t>
      </w:r>
    </w:p>
    <w:p>
      <w:pPr>
        <w:numPr>
          <w:ilvl w:val="0"/>
          <w:numId w:val="1"/>
        </w:numPr>
        <w:spacing w:line="360" w:lineRule="auto"/>
        <w:jc w:val="both"/>
        <w:rPr>
          <w:rFonts w:ascii="Georgia" w:hAnsi="Georgia" w:cs="Arial"/>
          <w:sz w:val="22"/>
          <w:szCs w:val="22"/>
        </w:rPr>
      </w:pPr>
      <w:r>
        <w:rPr>
          <w:rFonts w:ascii="Georgia" w:hAnsi="Georgia" w:cs="Arial"/>
          <w:sz w:val="22"/>
          <w:szCs w:val="22"/>
        </w:rPr>
        <w:t xml:space="preserve">Décision de refus d'octroi du certificat de qualification puisque cette décision relève des Jurys de qualification et non des Conseils de classe. </w:t>
      </w:r>
    </w:p>
    <w:p>
      <w:pPr>
        <w:spacing w:line="360" w:lineRule="auto"/>
        <w:jc w:val="both"/>
        <w:rPr>
          <w:rFonts w:ascii="Georgia" w:hAnsi="Georgia" w:cs="Arial"/>
          <w:sz w:val="22"/>
          <w:szCs w:val="22"/>
        </w:rPr>
      </w:pPr>
    </w:p>
    <w:p>
      <w:pPr>
        <w:numPr>
          <w:ilvl w:val="2"/>
          <w:numId w:val="30"/>
        </w:numPr>
        <w:tabs>
          <w:tab w:val="clear" w:pos="2340"/>
          <w:tab w:val="num" w:pos="180"/>
        </w:tabs>
        <w:spacing w:line="360" w:lineRule="auto"/>
        <w:ind w:left="922" w:hanging="1102"/>
        <w:jc w:val="both"/>
        <w:rPr>
          <w:rFonts w:ascii="Georgia" w:hAnsi="Georgia" w:cs="Arial"/>
          <w:sz w:val="22"/>
          <w:szCs w:val="22"/>
          <w:u w:val="single"/>
        </w:rPr>
      </w:pPr>
      <w:r>
        <w:rPr>
          <w:rFonts w:ascii="Georgia" w:hAnsi="Georgia" w:cs="Arial"/>
          <w:sz w:val="22"/>
          <w:szCs w:val="22"/>
          <w:u w:val="single"/>
        </w:rPr>
        <w:t>SESSIONS ET DECISIONS DES CONSEILS DE RECOURS</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 xml:space="preserve">Chaque Conseil de recours vérifie préalablement la recevabilité des recours introduits au regard des conditions prévues à l’article 98 du décret du 24 juillet 1997. </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En application de l’article 98, § 2 du même décret, il peut enjoindre à l’établissement de produire à son intention tout document qu’il juge utile à sa prise de décision. Il peut se faire assister par des experts qu’il choisit.</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 xml:space="preserve">Enfin, il peut entendre les personnes de son choix mais n’étant pas une juridiction civile, </w:t>
      </w:r>
      <w:r>
        <w:rPr>
          <w:rFonts w:ascii="Georgia" w:hAnsi="Georgia" w:cs="Arial"/>
          <w:b/>
          <w:sz w:val="22"/>
          <w:szCs w:val="22"/>
        </w:rPr>
        <w:t>il n’a toutefois aucune obligation d’accéder à une demande d’audience,</w:t>
      </w:r>
      <w:r>
        <w:rPr>
          <w:rFonts w:ascii="Georgia" w:hAnsi="Georgia" w:cs="Arial"/>
          <w:sz w:val="22"/>
          <w:szCs w:val="22"/>
        </w:rPr>
        <w:t xml:space="preserve"> excepté dans le cas précis où cette demande émane d’un Conseil de classe qui souhaite que son Président soit entendu. </w:t>
      </w:r>
    </w:p>
    <w:p>
      <w:pPr>
        <w:spacing w:line="360" w:lineRule="auto"/>
        <w:jc w:val="both"/>
        <w:rPr>
          <w:rFonts w:ascii="Georgia" w:hAnsi="Georgia" w:cs="Arial"/>
          <w:sz w:val="22"/>
          <w:szCs w:val="22"/>
        </w:rPr>
      </w:pPr>
    </w:p>
    <w:p>
      <w:pPr>
        <w:spacing w:line="360" w:lineRule="auto"/>
        <w:jc w:val="both"/>
        <w:rPr>
          <w:rFonts w:ascii="Georgia" w:hAnsi="Georgia" w:cs="Arial"/>
          <w:i/>
          <w:sz w:val="22"/>
          <w:szCs w:val="22"/>
        </w:rPr>
      </w:pPr>
      <w:r>
        <w:rPr>
          <w:rFonts w:ascii="Georgia" w:hAnsi="Georgia" w:cs="Arial"/>
          <w:sz w:val="22"/>
          <w:szCs w:val="22"/>
        </w:rPr>
        <w:t xml:space="preserve">En application de l’article 99 du décret susvisé, </w:t>
      </w:r>
      <w:r>
        <w:rPr>
          <w:rFonts w:ascii="Georgia" w:hAnsi="Georgia" w:cs="Arial"/>
          <w:i/>
          <w:sz w:val="22"/>
          <w:szCs w:val="22"/>
        </w:rPr>
        <w:t>"les décisions du Conseil de recours se fondent sur la correspondance entre les compétences acquises par l’élève et les compétences qu’il doit normalement acquérir ainsi que sur l’équivalence du niveau des épreuves produites par les différentes commissions d’évaluation.</w:t>
      </w:r>
    </w:p>
    <w:p>
      <w:pPr>
        <w:spacing w:line="360" w:lineRule="auto"/>
        <w:jc w:val="both"/>
        <w:rPr>
          <w:rFonts w:ascii="Georgia" w:hAnsi="Georgia" w:cs="Arial"/>
          <w:i/>
          <w:sz w:val="22"/>
          <w:szCs w:val="22"/>
        </w:rPr>
      </w:pPr>
      <w:r>
        <w:rPr>
          <w:rFonts w:ascii="Georgia" w:hAnsi="Georgia" w:cs="Arial"/>
          <w:i/>
          <w:sz w:val="22"/>
          <w:szCs w:val="22"/>
        </w:rPr>
        <w:t>Aussi longtemps que les compétences n’ont pas été déterminées ou que les épreuves d’évaluation n’ont pas été produites, le Conseil de recours prend ses décisions en fonction des programmes d’études".</w:t>
      </w:r>
    </w:p>
    <w:p>
      <w:pPr>
        <w:spacing w:line="360" w:lineRule="auto"/>
        <w:jc w:val="both"/>
        <w:rPr>
          <w:rFonts w:ascii="Georgia" w:hAnsi="Georgia" w:cs="Arial"/>
          <w:i/>
          <w:sz w:val="22"/>
          <w:szCs w:val="22"/>
        </w:rPr>
      </w:pPr>
    </w:p>
    <w:p>
      <w:pPr>
        <w:numPr>
          <w:ilvl w:val="2"/>
          <w:numId w:val="30"/>
        </w:numPr>
        <w:tabs>
          <w:tab w:val="clear" w:pos="2340"/>
          <w:tab w:val="num" w:pos="180"/>
        </w:tabs>
        <w:spacing w:line="360" w:lineRule="auto"/>
        <w:ind w:left="922" w:hanging="1102"/>
        <w:jc w:val="both"/>
        <w:rPr>
          <w:rFonts w:ascii="Georgia" w:hAnsi="Georgia" w:cs="Arial"/>
          <w:sz w:val="22"/>
          <w:szCs w:val="22"/>
          <w:u w:val="single"/>
        </w:rPr>
      </w:pPr>
      <w:r>
        <w:rPr>
          <w:rFonts w:ascii="Georgia" w:hAnsi="Georgia" w:cs="Arial"/>
          <w:sz w:val="22"/>
          <w:szCs w:val="22"/>
          <w:u w:val="single"/>
        </w:rPr>
        <w:t>PORTEE DES DECISIONS DES CONSEILS DE RECOURS</w:t>
      </w:r>
    </w:p>
    <w:p>
      <w:pPr>
        <w:spacing w:line="360" w:lineRule="auto"/>
        <w:ind w:left="360"/>
        <w:jc w:val="both"/>
        <w:rPr>
          <w:rFonts w:ascii="Georgia" w:hAnsi="Georgia" w:cs="Arial"/>
          <w:b/>
          <w:sz w:val="22"/>
          <w:szCs w:val="22"/>
          <w:u w:val="single"/>
        </w:rPr>
      </w:pPr>
    </w:p>
    <w:p>
      <w:pPr>
        <w:spacing w:line="360" w:lineRule="auto"/>
        <w:jc w:val="both"/>
        <w:rPr>
          <w:rFonts w:ascii="Georgia" w:hAnsi="Georgia" w:cs="Arial"/>
          <w:sz w:val="22"/>
          <w:szCs w:val="22"/>
        </w:rPr>
      </w:pPr>
      <w:r>
        <w:rPr>
          <w:rFonts w:ascii="Georgia" w:hAnsi="Georgia" w:cs="Arial"/>
          <w:sz w:val="22"/>
          <w:szCs w:val="22"/>
        </w:rPr>
        <w:t>La Direction générale de l’Enseignement obligatoire transmet immédiatement un exemplaire de la décision du Conseil de recours au Chef d’établissement et en informe simultanément le requérant, par pli recommandé.</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La décision du Conseil de recours réformant la décision d’un Conseil de classe remplace celle-ci. La notification de cette décision est jointe au procès-verbal du Conseil de classe.</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 xml:space="preserve">Elle entraîne de facto l’établissement d’un </w:t>
      </w:r>
      <w:r>
        <w:rPr>
          <w:rFonts w:ascii="Georgia" w:hAnsi="Georgia" w:cs="Arial"/>
          <w:b/>
          <w:sz w:val="22"/>
          <w:szCs w:val="22"/>
        </w:rPr>
        <w:t>nouveau certificat ou le changement de l’attestation d’orientation</w:t>
      </w:r>
      <w:r>
        <w:rPr>
          <w:rFonts w:ascii="Georgia" w:hAnsi="Georgia" w:cs="Arial"/>
          <w:sz w:val="22"/>
          <w:szCs w:val="22"/>
        </w:rPr>
        <w:t xml:space="preserve"> qui sera délivré à l’élève par le Chef d’établissement </w:t>
      </w:r>
      <w:r>
        <w:rPr>
          <w:rFonts w:ascii="Georgia" w:hAnsi="Georgia" w:cs="Arial"/>
          <w:b/>
          <w:sz w:val="22"/>
          <w:szCs w:val="22"/>
        </w:rPr>
        <w:t>et portera la date de la décision du Conseil de recours.</w:t>
      </w:r>
    </w:p>
    <w:p>
      <w:pPr>
        <w:spacing w:line="360" w:lineRule="auto"/>
        <w:jc w:val="both"/>
        <w:rPr>
          <w:rFonts w:ascii="Georgia" w:hAnsi="Georgia" w:cs="Arial"/>
          <w:sz w:val="22"/>
          <w:szCs w:val="22"/>
        </w:rPr>
      </w:pPr>
    </w:p>
    <w:p>
      <w:pPr>
        <w:spacing w:line="360" w:lineRule="auto"/>
        <w:jc w:val="both"/>
        <w:rPr>
          <w:rFonts w:ascii="Georgia" w:hAnsi="Georgia" w:cs="Arial"/>
          <w:sz w:val="22"/>
          <w:szCs w:val="22"/>
        </w:rPr>
      </w:pPr>
      <w:r>
        <w:rPr>
          <w:rFonts w:ascii="Georgia" w:hAnsi="Georgia" w:cs="Arial"/>
          <w:sz w:val="22"/>
          <w:szCs w:val="22"/>
        </w:rPr>
        <w:t xml:space="preserve">Si un certificat d’enseignement secondaire supérieur est délivré en application d’une décision d’un Conseil de recours, les informations seront transmises à l'Administration selon les modalités prévues par la </w:t>
      </w:r>
      <w:r>
        <w:rPr>
          <w:rFonts w:ascii="Georgia" w:hAnsi="Georgia" w:cs="Arial"/>
          <w:b/>
          <w:sz w:val="22"/>
          <w:szCs w:val="22"/>
        </w:rPr>
        <w:t>Circulaire n°5408 du 15/09/2015 ayant pour objet « Modalités d'envoi sous format informatique des données relatives à la délivrance des certificats d'enseignement secondaire supérieur dans l'enseignement ordinaire et spécialisé de plein exercice et en alternance et des certificats de qualification et d'études, des attestations de compétences complémentaires et des certificats de qualification spécifiques dans l'enseignement ordinaire de plein exercice et en alternance »</w:t>
      </w:r>
      <w:r>
        <w:rPr>
          <w:rFonts w:ascii="Georgia" w:hAnsi="Georgia" w:cs="Arial"/>
          <w:sz w:val="22"/>
          <w:szCs w:val="22"/>
        </w:rPr>
        <w:t>.</w:t>
      </w:r>
    </w:p>
    <w:p>
      <w:pPr>
        <w:spacing w:line="360" w:lineRule="auto"/>
        <w:jc w:val="both"/>
        <w:rPr>
          <w:rFonts w:ascii="Georgia" w:hAnsi="Georgia" w:cs="Arial"/>
          <w:sz w:val="22"/>
          <w:szCs w:val="22"/>
        </w:rPr>
      </w:pPr>
    </w:p>
    <w:p>
      <w:pPr>
        <w:spacing w:line="360" w:lineRule="auto"/>
        <w:jc w:val="both"/>
        <w:rPr>
          <w:rStyle w:val="Accentuation"/>
          <w:rFonts w:ascii="Georgia" w:hAnsi="Georgia" w:cs="Arial"/>
          <w:b w:val="0"/>
          <w:sz w:val="22"/>
          <w:szCs w:val="22"/>
        </w:rPr>
      </w:pPr>
      <w:r>
        <w:rPr>
          <w:rFonts w:ascii="Georgia" w:hAnsi="Georgia" w:cs="Arial"/>
          <w:b/>
          <w:sz w:val="22"/>
          <w:szCs w:val="22"/>
        </w:rPr>
        <w:t>Pour les élèves du premier degré différencié</w:t>
      </w:r>
      <w:r>
        <w:rPr>
          <w:rFonts w:ascii="Georgia" w:hAnsi="Georgia" w:cs="Arial"/>
          <w:sz w:val="22"/>
          <w:szCs w:val="22"/>
        </w:rPr>
        <w:t xml:space="preserve">, lorsque le </w:t>
      </w:r>
      <w:r>
        <w:rPr>
          <w:rStyle w:val="Accentuation"/>
          <w:rFonts w:ascii="Georgia" w:hAnsi="Georgia" w:cs="Arial"/>
          <w:b w:val="0"/>
          <w:sz w:val="22"/>
          <w:szCs w:val="22"/>
        </w:rPr>
        <w:t>Conseil de recours contre les décisions de refus d’octroi du Certificat d’Etudes de base (CEB) accorde le CEB, le Conseil de classe se trouve dans l'</w:t>
      </w:r>
      <w:r>
        <w:rPr>
          <w:rStyle w:val="Accentuation"/>
          <w:rFonts w:ascii="Georgia" w:hAnsi="Georgia" w:cs="Arial"/>
          <w:sz w:val="22"/>
          <w:szCs w:val="22"/>
        </w:rPr>
        <w:t>obligation</w:t>
      </w:r>
      <w:r>
        <w:rPr>
          <w:rStyle w:val="Accentuation"/>
          <w:rFonts w:ascii="Georgia" w:hAnsi="Georgia" w:cs="Arial"/>
          <w:b w:val="0"/>
          <w:sz w:val="22"/>
          <w:szCs w:val="22"/>
        </w:rPr>
        <w:t xml:space="preserve"> de:</w:t>
      </w:r>
    </w:p>
    <w:p>
      <w:pPr>
        <w:numPr>
          <w:ilvl w:val="0"/>
          <w:numId w:val="3"/>
        </w:numPr>
        <w:spacing w:line="360" w:lineRule="auto"/>
        <w:jc w:val="both"/>
        <w:rPr>
          <w:rStyle w:val="Accentuation"/>
          <w:rFonts w:ascii="Georgia" w:hAnsi="Georgia" w:cs="Arial"/>
          <w:b w:val="0"/>
          <w:sz w:val="22"/>
          <w:szCs w:val="22"/>
        </w:rPr>
      </w:pPr>
      <w:r>
        <w:rPr>
          <w:rStyle w:val="Accentuation"/>
          <w:rFonts w:ascii="Georgia" w:hAnsi="Georgia" w:cs="Arial"/>
          <w:b w:val="0"/>
          <w:sz w:val="22"/>
          <w:szCs w:val="22"/>
        </w:rPr>
        <w:t>délivrer le CEB;</w:t>
      </w:r>
    </w:p>
    <w:p>
      <w:pPr>
        <w:numPr>
          <w:ilvl w:val="0"/>
          <w:numId w:val="3"/>
        </w:numPr>
        <w:spacing w:line="360" w:lineRule="auto"/>
        <w:jc w:val="both"/>
        <w:rPr>
          <w:rStyle w:val="Accentuation"/>
          <w:rFonts w:ascii="Georgia" w:hAnsi="Georgia" w:cs="Arial"/>
          <w:b w:val="0"/>
          <w:sz w:val="22"/>
          <w:szCs w:val="22"/>
        </w:rPr>
      </w:pPr>
      <w:r>
        <w:rPr>
          <w:rStyle w:val="Accentuation"/>
          <w:rFonts w:ascii="Georgia" w:hAnsi="Georgia" w:cs="Arial"/>
          <w:b w:val="0"/>
          <w:sz w:val="22"/>
          <w:szCs w:val="22"/>
        </w:rPr>
        <w:t>se réunir à nouveau pour décider de l'orientation de l'élève sur base du fait qu'il possède le CEB.</w:t>
      </w:r>
    </w:p>
    <w:p>
      <w:pPr>
        <w:spacing w:line="360" w:lineRule="auto"/>
        <w:ind w:left="360"/>
        <w:jc w:val="both"/>
        <w:rPr>
          <w:rStyle w:val="Accentuation"/>
          <w:rFonts w:ascii="Georgia" w:hAnsi="Georgia" w:cs="Arial"/>
          <w:b w:val="0"/>
          <w:sz w:val="22"/>
          <w:szCs w:val="22"/>
        </w:rPr>
      </w:pPr>
    </w:p>
    <w:p>
      <w:pPr>
        <w:spacing w:line="360" w:lineRule="auto"/>
        <w:jc w:val="both"/>
        <w:rPr>
          <w:rFonts w:ascii="Georgia" w:hAnsi="Georgia" w:cs="Arial"/>
          <w:bCs/>
          <w:sz w:val="22"/>
          <w:szCs w:val="22"/>
        </w:rPr>
      </w:pPr>
      <w:r>
        <w:rPr>
          <w:rStyle w:val="Accentuation"/>
          <w:rFonts w:ascii="Georgia" w:hAnsi="Georgia" w:cs="Arial"/>
          <w:b w:val="0"/>
          <w:sz w:val="22"/>
          <w:szCs w:val="22"/>
        </w:rPr>
        <w:t>Cette nouvelle décision est à nouveau susceptible de faire l'objet d'une nouvelle procédure de recours.</w:t>
      </w:r>
    </w:p>
    <w:p>
      <w:pPr>
        <w:spacing w:line="360" w:lineRule="auto"/>
        <w:jc w:val="both"/>
        <w:rPr>
          <w:rFonts w:ascii="Arial" w:hAnsi="Arial" w:cs="Arial"/>
          <w:sz w:val="22"/>
          <w:szCs w:val="22"/>
        </w:rPr>
      </w:pPr>
    </w:p>
    <w:p>
      <w:pPr>
        <w:rPr>
          <w:rFonts w:ascii="Arial" w:hAnsi="Arial" w:cs="Arial"/>
          <w:sz w:val="22"/>
          <w:szCs w:val="22"/>
        </w:rPr>
      </w:pPr>
      <w:r>
        <w:rPr>
          <w:rFonts w:ascii="Arial" w:hAnsi="Arial" w:cs="Arial"/>
          <w:sz w:val="22"/>
          <w:szCs w:val="22"/>
        </w:rPr>
        <w:br w:type="page"/>
      </w:r>
    </w:p>
    <w:p>
      <w:pPr>
        <w:spacing w:line="360" w:lineRule="auto"/>
        <w:ind w:left="-142"/>
        <w:jc w:val="both"/>
        <w:rPr>
          <w:rFonts w:asciiTheme="minorHAnsi" w:hAnsiTheme="minorHAnsi" w:cstheme="minorHAnsi"/>
          <w:b/>
          <w:sz w:val="22"/>
          <w:szCs w:val="22"/>
          <w:u w:val="single"/>
        </w:rPr>
      </w:pPr>
      <w:r>
        <w:rPr>
          <w:rFonts w:asciiTheme="minorHAnsi" w:hAnsiTheme="minorHAnsi" w:cstheme="minorHAnsi"/>
          <w:b/>
          <w:sz w:val="22"/>
          <w:szCs w:val="22"/>
          <w:u w:val="single"/>
        </w:rPr>
        <w:t>Annexe 0</w:t>
      </w:r>
    </w:p>
    <w:p>
      <w:pPr>
        <w:spacing w:line="360" w:lineRule="auto"/>
        <w:jc w:val="both"/>
        <w:rPr>
          <w:rFonts w:ascii="Arial" w:hAnsi="Arial" w:cs="Arial"/>
          <w:sz w:val="22"/>
          <w:szCs w:val="22"/>
        </w:rPr>
      </w:pPr>
    </w:p>
    <w:p>
      <w:pPr>
        <w:pBdr>
          <w:top w:val="single" w:sz="4" w:space="1" w:color="auto"/>
          <w:left w:val="single" w:sz="4" w:space="4" w:color="auto"/>
          <w:bottom w:val="single" w:sz="4" w:space="1" w:color="auto"/>
          <w:right w:val="single" w:sz="4" w:space="4" w:color="auto"/>
        </w:pBdr>
        <w:ind w:right="141"/>
        <w:jc w:val="center"/>
        <w:rPr>
          <w:rFonts w:ascii="Calibri" w:hAnsi="Calibri"/>
          <w:sz w:val="28"/>
          <w:szCs w:val="28"/>
        </w:rPr>
      </w:pPr>
      <w:bookmarkStart w:id="18" w:name="_Toc327342315"/>
      <w:r>
        <w:rPr>
          <w:rFonts w:ascii="Calibri" w:hAnsi="Calibri"/>
          <w:sz w:val="28"/>
          <w:szCs w:val="28"/>
        </w:rPr>
        <w:t>Contestation d’une décision du Conseil de classe</w:t>
      </w:r>
      <w:bookmarkEnd w:id="18"/>
      <w:r>
        <w:rPr>
          <w:rFonts w:ascii="Calibri" w:hAnsi="Calibri"/>
          <w:sz w:val="28"/>
          <w:szCs w:val="28"/>
        </w:rPr>
        <w:t xml:space="preserve"> ou du Jury de qualification</w:t>
      </w:r>
    </w:p>
    <w:p>
      <w:pPr>
        <w:jc w:val="both"/>
        <w:rPr>
          <w:rFonts w:ascii="Calibri" w:hAnsi="Calibri" w:cs="Arial"/>
          <w:color w:val="555555"/>
          <w:sz w:val="18"/>
          <w:szCs w:val="18"/>
        </w:rPr>
      </w:pPr>
    </w:p>
    <w:p>
      <w:pPr>
        <w:jc w:val="both"/>
        <w:rPr>
          <w:rFonts w:ascii="Calibri" w:hAnsi="Calibri" w:cs="Arial"/>
          <w:sz w:val="20"/>
          <w:szCs w:val="20"/>
        </w:rPr>
      </w:pPr>
      <w:r>
        <w:rPr>
          <w:rFonts w:ascii="Calibri" w:hAnsi="Calibri" w:cs="Arial"/>
          <w:sz w:val="20"/>
          <w:szCs w:val="20"/>
        </w:rPr>
        <w:t>Si l'élève majeur ou les parents (ou responsables légaux) de l'élève mineur ne sont pas d'accord avec la décision de fin d'année d'échec (AOC) ou de réussite avec restriction (AOB) délivrée par le Conseil de classe ou d’un refus d’octroi du certificat de qualification pris par le Jury de qualification, ils peuvent demander que la situation de l'élève soit réexaminée. Ce nouvel examen se déroule en 2 phases pour les décisions du Conseil de classe et en 1 phase pour les décisions du Jury de qualification :</w:t>
      </w:r>
    </w:p>
    <w:p>
      <w:pPr>
        <w:jc w:val="both"/>
        <w:rPr>
          <w:rFonts w:ascii="Calibri" w:hAnsi="Calibri" w:cs="Arial"/>
          <w:b/>
          <w:sz w:val="20"/>
          <w:szCs w:val="20"/>
        </w:rPr>
      </w:pPr>
    </w:p>
    <w:p>
      <w:pPr>
        <w:jc w:val="both"/>
        <w:rPr>
          <w:rFonts w:ascii="Calibri" w:hAnsi="Calibri" w:cs="Arial"/>
          <w:b/>
          <w:sz w:val="20"/>
          <w:szCs w:val="20"/>
        </w:rPr>
      </w:pPr>
      <w:r>
        <w:rPr>
          <w:rFonts w:ascii="Calibri" w:hAnsi="Calibri" w:cs="Arial"/>
          <w:b/>
          <w:sz w:val="20"/>
          <w:szCs w:val="20"/>
        </w:rPr>
        <w:t>1. Procédure de conciliation interne</w:t>
      </w:r>
    </w:p>
    <w:p>
      <w:pPr>
        <w:jc w:val="both"/>
        <w:rPr>
          <w:rFonts w:ascii="Calibri" w:hAnsi="Calibri" w:cs="Arial"/>
          <w:sz w:val="20"/>
          <w:szCs w:val="20"/>
        </w:rPr>
      </w:pPr>
    </w:p>
    <w:p>
      <w:pPr>
        <w:jc w:val="both"/>
        <w:rPr>
          <w:rFonts w:ascii="Calibri" w:hAnsi="Calibri" w:cs="Arial"/>
          <w:sz w:val="20"/>
          <w:szCs w:val="20"/>
        </w:rPr>
      </w:pPr>
      <w:r>
        <w:rPr>
          <w:rFonts w:ascii="Calibri" w:hAnsi="Calibri" w:cs="Arial"/>
          <w:sz w:val="20"/>
          <w:szCs w:val="20"/>
        </w:rPr>
        <w:t>La procédure de conciliation interne peut être introduite par les parents (ou responsables légaux) des élèves mineurs ou par l’élève majeur qui souhaitent qu’une décision du Conseil de classe ou du Jury de qualification soit réexaminée par ceux-ci. Cette procédure de conciliation interne est propre à chaque établissement qui doit communiquer, aux parents (ou responsables légaux) des élèves mineurs, et aux élèves majeurs, la façon dont il organise cette conciliation.</w:t>
      </w:r>
    </w:p>
    <w:p>
      <w:pPr>
        <w:jc w:val="both"/>
        <w:rPr>
          <w:rFonts w:ascii="Calibri" w:hAnsi="Calibri" w:cs="Arial"/>
          <w:b/>
          <w:sz w:val="20"/>
          <w:szCs w:val="20"/>
        </w:rPr>
      </w:pPr>
      <w:r>
        <w:rPr>
          <w:rFonts w:ascii="Calibri" w:hAnsi="Calibri" w:cs="Arial"/>
          <w:sz w:val="20"/>
          <w:szCs w:val="20"/>
        </w:rPr>
        <w:t xml:space="preserve">L'élève majeur ou les parents (ou responsables légaux) de l'élève mineur peuvent introduire une demande de conciliation interne via la procédure qui leur a été communiquée par l’établissement scolaire ou bien, moyennant l’accord de l’établissement, </w:t>
      </w:r>
      <w:r>
        <w:rPr>
          <w:rFonts w:ascii="Calibri" w:hAnsi="Calibri" w:cs="Arial"/>
          <w:b/>
          <w:sz w:val="20"/>
          <w:szCs w:val="20"/>
        </w:rPr>
        <w:t>via le formulaire ci-dessous (volet 1).</w:t>
      </w:r>
    </w:p>
    <w:p>
      <w:pPr>
        <w:jc w:val="both"/>
        <w:rPr>
          <w:rFonts w:ascii="Calibri" w:hAnsi="Calibri" w:cs="Arial"/>
          <w:b/>
          <w:sz w:val="20"/>
          <w:szCs w:val="20"/>
        </w:rPr>
      </w:pPr>
    </w:p>
    <w:p>
      <w:pPr>
        <w:jc w:val="both"/>
        <w:rPr>
          <w:rFonts w:ascii="Calibri" w:hAnsi="Calibri" w:cs="Arial"/>
          <w:sz w:val="20"/>
          <w:szCs w:val="20"/>
        </w:rPr>
      </w:pPr>
      <w:r>
        <w:rPr>
          <w:rFonts w:ascii="Calibri" w:hAnsi="Calibri" w:cs="Arial"/>
          <w:sz w:val="20"/>
          <w:szCs w:val="20"/>
        </w:rPr>
        <w:t>La procédure interne doit se dérouler au moins sur les deux derniers jours d'ouverture d'école précédant les vacances scolaires et est clôturée dès le 30 juin pour les Conseils de classe de juin et le 25 juin pour les Jurys de qualification. La clôture de la procédure interne signifie que le Chef d'établissement doit avoir communiqué la décision pour le 30 juin (le 25 juin pour les décisions du Jury de qualification). Les demandeurs doivent donc avoir fait appel à la procédure interne AVANT le 30 juin pour les décisions du Conseil de classe et AVANT le 25 juin pour les décisions du Jury de qualification.</w:t>
      </w:r>
    </w:p>
    <w:p>
      <w:pPr>
        <w:jc w:val="both"/>
        <w:rPr>
          <w:rFonts w:ascii="Calibri" w:hAnsi="Calibri" w:cs="Arial"/>
          <w:sz w:val="20"/>
          <w:szCs w:val="20"/>
        </w:rPr>
      </w:pPr>
    </w:p>
    <w:p>
      <w:pPr>
        <w:jc w:val="both"/>
        <w:rPr>
          <w:rFonts w:ascii="Calibri" w:hAnsi="Calibri" w:cs="Arial"/>
          <w:sz w:val="20"/>
          <w:szCs w:val="20"/>
        </w:rPr>
      </w:pPr>
      <w:r>
        <w:rPr>
          <w:rFonts w:ascii="Calibri" w:hAnsi="Calibri" w:cs="Arial"/>
          <w:sz w:val="20"/>
          <w:szCs w:val="20"/>
        </w:rPr>
        <w:t>La procédure interne est clôturée 5 jours après la délibération pour les Conseils de classe et les Jurys de qualification de septembre</w:t>
      </w:r>
    </w:p>
    <w:p>
      <w:pPr>
        <w:jc w:val="both"/>
        <w:rPr>
          <w:rFonts w:ascii="Calibri" w:hAnsi="Calibri" w:cs="Arial"/>
          <w:sz w:val="20"/>
          <w:szCs w:val="20"/>
        </w:rPr>
      </w:pPr>
    </w:p>
    <w:p>
      <w:pPr>
        <w:jc w:val="both"/>
        <w:rPr>
          <w:rFonts w:ascii="Calibri" w:hAnsi="Calibri" w:cs="Arial"/>
          <w:sz w:val="20"/>
          <w:szCs w:val="20"/>
        </w:rPr>
      </w:pPr>
      <w:r>
        <w:rPr>
          <w:rFonts w:ascii="Calibri" w:hAnsi="Calibri" w:cs="Arial"/>
          <w:sz w:val="20"/>
          <w:szCs w:val="20"/>
        </w:rPr>
        <w:t xml:space="preserve">A l'issue de cette conciliation, soit le Conseil de classe ou le Jury de qualification maintient sa décision initiale, soit il modifie sa décision et accorde une autre attestation d'orientation ou le certificat de qualification. </w:t>
      </w:r>
    </w:p>
    <w:p>
      <w:pPr>
        <w:jc w:val="both"/>
        <w:rPr>
          <w:rFonts w:ascii="Calibri" w:hAnsi="Calibri" w:cs="Arial"/>
          <w:sz w:val="20"/>
          <w:szCs w:val="20"/>
        </w:rPr>
      </w:pPr>
    </w:p>
    <w:p>
      <w:pPr>
        <w:jc w:val="both"/>
        <w:rPr>
          <w:rFonts w:ascii="Calibri" w:hAnsi="Calibri" w:cs="Arial"/>
          <w:sz w:val="20"/>
          <w:szCs w:val="20"/>
        </w:rPr>
      </w:pPr>
      <w:r>
        <w:rPr>
          <w:rFonts w:ascii="Calibri" w:hAnsi="Calibri" w:cs="Arial"/>
          <w:sz w:val="20"/>
          <w:szCs w:val="20"/>
        </w:rPr>
        <w:t xml:space="preserve">Si l'élève majeur ou les parents (ou responsables légaux) de l'élève mineur ne sont pas d'accord avec la décision du Conseil de classe prise à l'issue de la conciliation interne, ils peuvent alors introduire une demande externe auprès du Conseil de recours contre les décisions des Conseils de classe. Cette demande doit être faite avant le 10 juillet pour les décisions de première session, et dans les 5 jours ouvrables scolaires qui suivent  la notification de la décision de deuxième session. </w:t>
      </w:r>
    </w:p>
    <w:p>
      <w:pPr>
        <w:jc w:val="both"/>
        <w:rPr>
          <w:rFonts w:ascii="Calibri" w:hAnsi="Calibri" w:cs="Arial"/>
          <w:sz w:val="20"/>
          <w:szCs w:val="20"/>
        </w:rPr>
      </w:pPr>
    </w:p>
    <w:p>
      <w:pPr>
        <w:jc w:val="both"/>
        <w:rPr>
          <w:rFonts w:ascii="Calibri" w:hAnsi="Calibri" w:cs="Arial"/>
          <w:sz w:val="20"/>
          <w:szCs w:val="20"/>
        </w:rPr>
      </w:pPr>
      <w:r>
        <w:rPr>
          <w:rFonts w:ascii="Calibri" w:hAnsi="Calibri" w:cs="Arial"/>
          <w:b/>
          <w:sz w:val="20"/>
          <w:szCs w:val="20"/>
        </w:rPr>
        <w:t xml:space="preserve">L’introduction d’une demande de conciliation interne est </w:t>
      </w:r>
      <w:r>
        <w:rPr>
          <w:rFonts w:ascii="Calibri" w:hAnsi="Calibri" w:cs="Arial"/>
          <w:b/>
          <w:sz w:val="20"/>
          <w:szCs w:val="20"/>
          <w:u w:val="single"/>
        </w:rPr>
        <w:t>obligatoire</w:t>
      </w:r>
      <w:r>
        <w:rPr>
          <w:rFonts w:ascii="Calibri" w:hAnsi="Calibri" w:cs="Arial"/>
          <w:b/>
          <w:sz w:val="20"/>
          <w:szCs w:val="20"/>
        </w:rPr>
        <w:t xml:space="preserve"> pour que le recours externe soit recevable.</w:t>
      </w:r>
    </w:p>
    <w:p>
      <w:pPr>
        <w:jc w:val="both"/>
        <w:rPr>
          <w:rFonts w:ascii="Calibri" w:hAnsi="Calibri" w:cs="Arial"/>
          <w:sz w:val="20"/>
          <w:szCs w:val="20"/>
        </w:rPr>
      </w:pPr>
    </w:p>
    <w:p>
      <w:pPr>
        <w:jc w:val="both"/>
        <w:rPr>
          <w:rFonts w:ascii="Calibri" w:hAnsi="Calibri" w:cs="Arial"/>
          <w:b/>
          <w:sz w:val="20"/>
          <w:szCs w:val="20"/>
        </w:rPr>
      </w:pPr>
      <w:r>
        <w:rPr>
          <w:rFonts w:ascii="Calibri" w:hAnsi="Calibri" w:cs="Arial"/>
          <w:b/>
          <w:sz w:val="20"/>
          <w:szCs w:val="20"/>
        </w:rPr>
        <w:t>2. Procédure de recours externe</w:t>
      </w:r>
    </w:p>
    <w:p>
      <w:pPr>
        <w:jc w:val="both"/>
        <w:rPr>
          <w:rFonts w:ascii="Calibri" w:hAnsi="Calibri" w:cs="Arial"/>
          <w:sz w:val="20"/>
          <w:szCs w:val="20"/>
        </w:rPr>
      </w:pPr>
    </w:p>
    <w:p>
      <w:pPr>
        <w:jc w:val="both"/>
        <w:rPr>
          <w:rFonts w:ascii="Calibri" w:hAnsi="Calibri" w:cs="Arial"/>
          <w:color w:val="000000"/>
          <w:sz w:val="20"/>
          <w:szCs w:val="20"/>
        </w:rPr>
      </w:pPr>
      <w:r>
        <w:rPr>
          <w:rFonts w:ascii="Calibri" w:hAnsi="Calibri" w:cs="Arial"/>
          <w:color w:val="000000"/>
          <w:sz w:val="20"/>
          <w:szCs w:val="20"/>
        </w:rPr>
        <w:t xml:space="preserve">La procédure de recours externe est prévue uniquement pour contester les attestations de réussite partielle (restrictive ou AOB) ou d'échec (AOC) délivrées par les Conseils de classe (pas les décisions de refus d’octroi du certificat de qualification par le Jury de qualification). </w:t>
      </w:r>
    </w:p>
    <w:p>
      <w:pPr>
        <w:jc w:val="both"/>
        <w:rPr>
          <w:rFonts w:ascii="Calibri" w:hAnsi="Calibri" w:cs="Arial"/>
          <w:color w:val="000000"/>
          <w:sz w:val="20"/>
          <w:szCs w:val="20"/>
        </w:rPr>
      </w:pPr>
    </w:p>
    <w:tbl>
      <w:tblPr>
        <w:tblStyle w:val="Grilledutableau"/>
        <w:tblW w:w="0" w:type="auto"/>
        <w:tblLook w:val="04A0" w:firstRow="1" w:lastRow="0" w:firstColumn="1" w:lastColumn="0" w:noHBand="0" w:noVBand="1"/>
      </w:tblPr>
      <w:tblGrid>
        <w:gridCol w:w="9060"/>
      </w:tblGrid>
      <w:tr>
        <w:tc>
          <w:tcPr>
            <w:tcW w:w="9210" w:type="dxa"/>
            <w:tcBorders>
              <w:top w:val="single" w:sz="4" w:space="0" w:color="auto"/>
              <w:left w:val="single" w:sz="4" w:space="0" w:color="auto"/>
              <w:bottom w:val="single" w:sz="4" w:space="0" w:color="auto"/>
              <w:right w:val="single" w:sz="4" w:space="0" w:color="auto"/>
            </w:tcBorders>
          </w:tcPr>
          <w:p>
            <w:pPr>
              <w:jc w:val="both"/>
              <w:rPr>
                <w:rFonts w:ascii="Calibri" w:hAnsi="Calibri" w:cs="Arial"/>
                <w:sz w:val="20"/>
                <w:szCs w:val="20"/>
              </w:rPr>
            </w:pPr>
          </w:p>
          <w:p>
            <w:pPr>
              <w:jc w:val="both"/>
              <w:rPr>
                <w:rFonts w:ascii="Calibri" w:hAnsi="Calibri" w:cs="Arial"/>
                <w:b/>
                <w:color w:val="000000"/>
                <w:sz w:val="20"/>
                <w:szCs w:val="20"/>
              </w:rPr>
            </w:pPr>
            <w:r>
              <w:rPr>
                <w:rFonts w:ascii="Calibri" w:hAnsi="Calibri" w:cs="Arial"/>
                <w:b/>
                <w:color w:val="000000"/>
                <w:sz w:val="20"/>
                <w:szCs w:val="20"/>
              </w:rPr>
              <w:t>Intenter un recours externe ne sert donc :</w:t>
            </w:r>
          </w:p>
          <w:p>
            <w:pPr>
              <w:jc w:val="both"/>
              <w:rPr>
                <w:rFonts w:ascii="Calibri" w:hAnsi="Calibri" w:cs="Arial"/>
                <w:b/>
                <w:color w:val="000000"/>
                <w:sz w:val="20"/>
                <w:szCs w:val="20"/>
              </w:rPr>
            </w:pPr>
          </w:p>
          <w:p>
            <w:pPr>
              <w:numPr>
                <w:ilvl w:val="0"/>
                <w:numId w:val="47"/>
              </w:numPr>
              <w:jc w:val="both"/>
              <w:rPr>
                <w:rFonts w:ascii="Calibri" w:hAnsi="Calibri" w:cs="Arial"/>
                <w:b/>
                <w:color w:val="000000"/>
                <w:sz w:val="20"/>
                <w:szCs w:val="20"/>
                <w:u w:val="single"/>
              </w:rPr>
            </w:pPr>
            <w:r>
              <w:rPr>
                <w:rFonts w:ascii="Calibri" w:hAnsi="Calibri" w:cs="Arial"/>
                <w:b/>
                <w:color w:val="000000"/>
                <w:sz w:val="20"/>
                <w:szCs w:val="20"/>
                <w:u w:val="single"/>
              </w:rPr>
              <w:t xml:space="preserve">pas à obtenir des examens de repêchage, de deuxième session. </w:t>
            </w:r>
          </w:p>
          <w:p>
            <w:pPr>
              <w:ind w:left="720"/>
              <w:jc w:val="both"/>
              <w:rPr>
                <w:rFonts w:ascii="Calibri" w:hAnsi="Calibri" w:cs="Arial"/>
                <w:b/>
                <w:color w:val="000000"/>
                <w:sz w:val="20"/>
                <w:szCs w:val="20"/>
              </w:rPr>
            </w:pPr>
            <w:r>
              <w:rPr>
                <w:rFonts w:ascii="Calibri" w:hAnsi="Calibri" w:cs="Arial"/>
                <w:b/>
                <w:color w:val="000000"/>
                <w:sz w:val="20"/>
                <w:szCs w:val="20"/>
              </w:rPr>
              <w:t>Le conseil de classe, au mois de juin, est libre de délivrer directement une attestation ou de laisser une deuxième chance à l’élève au mois de septembre. En conséquence, si le conseil de classe de juin impose des examens de repêchage à un élève, aucune attestation n'a encore été délivrée et aucun recours ne peut donc être introduit.</w:t>
            </w:r>
          </w:p>
          <w:p>
            <w:pPr>
              <w:numPr>
                <w:ilvl w:val="0"/>
                <w:numId w:val="47"/>
              </w:numPr>
              <w:jc w:val="both"/>
              <w:rPr>
                <w:rFonts w:ascii="Calibri" w:hAnsi="Calibri" w:cs="Arial"/>
                <w:b/>
                <w:color w:val="000000"/>
                <w:sz w:val="20"/>
                <w:szCs w:val="20"/>
              </w:rPr>
            </w:pPr>
            <w:r>
              <w:rPr>
                <w:rFonts w:ascii="Calibri" w:hAnsi="Calibri" w:cs="Arial"/>
                <w:b/>
                <w:color w:val="000000"/>
                <w:sz w:val="20"/>
                <w:szCs w:val="20"/>
              </w:rPr>
              <w:t>pas à faire sanctionner un professeur, la direction, un éducateur, etc. pour une raison x ou y</w:t>
            </w:r>
          </w:p>
          <w:p>
            <w:pPr>
              <w:numPr>
                <w:ilvl w:val="0"/>
                <w:numId w:val="47"/>
              </w:numPr>
              <w:jc w:val="both"/>
              <w:rPr>
                <w:rFonts w:ascii="Calibri" w:hAnsi="Calibri" w:cs="Arial"/>
                <w:b/>
                <w:color w:val="000000"/>
                <w:sz w:val="20"/>
                <w:szCs w:val="20"/>
              </w:rPr>
            </w:pPr>
            <w:r>
              <w:rPr>
                <w:rFonts w:ascii="Calibri" w:hAnsi="Calibri" w:cs="Arial"/>
                <w:b/>
                <w:color w:val="000000"/>
                <w:sz w:val="20"/>
                <w:szCs w:val="20"/>
              </w:rPr>
              <w:t>pas, en cours d'année, à contester les points d'un bulletin ou d'un test</w:t>
            </w:r>
          </w:p>
          <w:p>
            <w:pPr>
              <w:numPr>
                <w:ilvl w:val="0"/>
                <w:numId w:val="47"/>
              </w:numPr>
              <w:jc w:val="both"/>
              <w:rPr>
                <w:rFonts w:ascii="Calibri" w:hAnsi="Calibri" w:cs="Arial"/>
                <w:b/>
                <w:color w:val="000000"/>
                <w:sz w:val="20"/>
                <w:szCs w:val="20"/>
              </w:rPr>
            </w:pPr>
            <w:r>
              <w:rPr>
                <w:rFonts w:ascii="Calibri" w:hAnsi="Calibri" w:cs="Arial"/>
                <w:b/>
                <w:color w:val="000000"/>
                <w:sz w:val="20"/>
                <w:szCs w:val="20"/>
              </w:rPr>
              <w:t>pas, en fin d'année, à obtenir une meilleure moyenne en cas de réussite.</w:t>
            </w:r>
          </w:p>
          <w:p>
            <w:pPr>
              <w:numPr>
                <w:ilvl w:val="0"/>
                <w:numId w:val="47"/>
              </w:numPr>
              <w:jc w:val="both"/>
              <w:rPr>
                <w:rFonts w:ascii="Calibri" w:hAnsi="Calibri" w:cs="Arial"/>
                <w:b/>
                <w:color w:val="000000"/>
                <w:sz w:val="20"/>
                <w:szCs w:val="20"/>
              </w:rPr>
            </w:pPr>
            <w:r>
              <w:rPr>
                <w:rFonts w:ascii="Calibri" w:hAnsi="Calibri" w:cs="Arial"/>
                <w:b/>
                <w:color w:val="000000"/>
                <w:sz w:val="20"/>
                <w:szCs w:val="20"/>
              </w:rPr>
              <w:t>à contester la décision du Jury de qualification.</w:t>
            </w:r>
          </w:p>
          <w:p>
            <w:pPr>
              <w:jc w:val="both"/>
              <w:rPr>
                <w:rFonts w:ascii="Calibri" w:hAnsi="Calibri" w:cs="Arial"/>
                <w:sz w:val="20"/>
                <w:szCs w:val="20"/>
              </w:rPr>
            </w:pPr>
          </w:p>
        </w:tc>
      </w:tr>
    </w:tbl>
    <w:p>
      <w:pPr>
        <w:ind w:left="360"/>
        <w:jc w:val="both"/>
        <w:rPr>
          <w:rFonts w:ascii="Calibri" w:hAnsi="Calibri" w:cs="Arial"/>
          <w:color w:val="000000"/>
          <w:sz w:val="20"/>
          <w:szCs w:val="20"/>
        </w:rPr>
      </w:pPr>
    </w:p>
    <w:p>
      <w:pPr>
        <w:jc w:val="both"/>
        <w:rPr>
          <w:rFonts w:ascii="Calibri" w:hAnsi="Calibri" w:cs="Arial"/>
          <w:color w:val="000000"/>
          <w:sz w:val="20"/>
          <w:szCs w:val="20"/>
        </w:rPr>
      </w:pPr>
      <w:r>
        <w:rPr>
          <w:rFonts w:ascii="Calibri" w:hAnsi="Calibri" w:cs="Arial"/>
          <w:sz w:val="20"/>
          <w:szCs w:val="20"/>
        </w:rPr>
        <w:t xml:space="preserve">L'élève majeur ou les parents (ou responsables légaux) de l'élève mineur peuvent introduire, </w:t>
      </w:r>
      <w:r>
        <w:rPr>
          <w:rFonts w:ascii="Calibri" w:hAnsi="Calibri" w:cs="Arial"/>
          <w:b/>
          <w:sz w:val="20"/>
          <w:szCs w:val="20"/>
          <w:u w:val="single"/>
        </w:rPr>
        <w:t xml:space="preserve">par courrier </w:t>
      </w:r>
      <w:r>
        <w:rPr>
          <w:rFonts w:ascii="Calibri" w:hAnsi="Calibri" w:cs="Arial"/>
          <w:b/>
          <w:color w:val="000000"/>
          <w:sz w:val="20"/>
          <w:szCs w:val="20"/>
          <w:u w:val="single"/>
        </w:rPr>
        <w:t>recommandé</w:t>
      </w:r>
      <w:r>
        <w:rPr>
          <w:rFonts w:ascii="Calibri" w:hAnsi="Calibri" w:cs="Arial"/>
          <w:color w:val="000000"/>
          <w:sz w:val="20"/>
          <w:szCs w:val="20"/>
        </w:rPr>
        <w:t>, une demande de recours externe via une lettre ou bien, via le formulaire ci-dessous (volet 2) à l’adresse suivante :</w:t>
      </w:r>
    </w:p>
    <w:p>
      <w:pPr>
        <w:jc w:val="center"/>
        <w:rPr>
          <w:rFonts w:ascii="Calibri" w:hAnsi="Calibri" w:cs="Arial"/>
          <w:color w:val="000000"/>
          <w:sz w:val="20"/>
          <w:szCs w:val="20"/>
        </w:rPr>
      </w:pPr>
    </w:p>
    <w:tbl>
      <w:tblPr>
        <w:tblW w:w="0" w:type="auto"/>
        <w:tblInd w:w="29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3"/>
      </w:tblGrid>
      <w:tr>
        <w:tc>
          <w:tcPr>
            <w:tcW w:w="0" w:type="auto"/>
            <w:tcBorders>
              <w:top w:val="single" w:sz="4" w:space="0" w:color="auto"/>
              <w:left w:val="single" w:sz="4" w:space="0" w:color="auto"/>
              <w:bottom w:val="single" w:sz="4" w:space="0" w:color="auto"/>
              <w:right w:val="single" w:sz="4" w:space="0" w:color="auto"/>
            </w:tcBorders>
            <w:hideMark/>
          </w:tcPr>
          <w:p>
            <w:pPr>
              <w:jc w:val="center"/>
              <w:rPr>
                <w:rFonts w:ascii="Calibri" w:hAnsi="Calibri" w:cs="Arial"/>
                <w:b/>
              </w:rPr>
            </w:pPr>
            <w:r>
              <w:rPr>
                <w:rFonts w:ascii="Calibri" w:hAnsi="Calibri" w:cs="Arial"/>
                <w:b/>
              </w:rPr>
              <w:t>Service de la Sanction des études</w:t>
            </w:r>
          </w:p>
          <w:p>
            <w:pPr>
              <w:jc w:val="center"/>
              <w:rPr>
                <w:rFonts w:ascii="Calibri" w:hAnsi="Calibri" w:cs="Arial"/>
                <w:b/>
              </w:rPr>
            </w:pPr>
            <w:r>
              <w:rPr>
                <w:rFonts w:ascii="Calibri" w:hAnsi="Calibri" w:cs="Arial"/>
                <w:b/>
              </w:rPr>
              <w:t xml:space="preserve">Conseil de recours, </w:t>
            </w:r>
          </w:p>
          <w:p>
            <w:pPr>
              <w:jc w:val="center"/>
              <w:rPr>
                <w:rFonts w:ascii="Calibri" w:hAnsi="Calibri" w:cs="Arial"/>
                <w:b/>
              </w:rPr>
            </w:pPr>
            <w:r>
              <w:rPr>
                <w:rFonts w:ascii="Calibri" w:hAnsi="Calibri" w:cs="Arial"/>
                <w:b/>
              </w:rPr>
              <w:t>bureau 1F140</w:t>
            </w:r>
          </w:p>
          <w:p>
            <w:pPr>
              <w:jc w:val="center"/>
              <w:rPr>
                <w:rFonts w:ascii="Calibri" w:hAnsi="Calibri" w:cs="Arial"/>
                <w:b/>
              </w:rPr>
            </w:pPr>
            <w:r>
              <w:rPr>
                <w:rFonts w:ascii="Calibri" w:hAnsi="Calibri" w:cs="Arial"/>
                <w:b/>
              </w:rPr>
              <w:t>Rue Adolphe Lavallée, 1</w:t>
            </w:r>
          </w:p>
          <w:p>
            <w:pPr>
              <w:jc w:val="center"/>
              <w:rPr>
                <w:rFonts w:ascii="Calibri" w:hAnsi="Calibri" w:cs="Arial"/>
                <w:b/>
              </w:rPr>
            </w:pPr>
            <w:r>
              <w:rPr>
                <w:rFonts w:ascii="Calibri" w:hAnsi="Calibri" w:cs="Arial"/>
                <w:b/>
              </w:rPr>
              <w:t>1080 Bruxelles</w:t>
            </w:r>
          </w:p>
        </w:tc>
      </w:tr>
    </w:tbl>
    <w:p>
      <w:pPr>
        <w:jc w:val="both"/>
        <w:rPr>
          <w:rFonts w:ascii="Calibri" w:hAnsi="Calibri" w:cs="Arial"/>
          <w:sz w:val="20"/>
          <w:szCs w:val="20"/>
        </w:rPr>
      </w:pPr>
    </w:p>
    <w:p>
      <w:pPr>
        <w:jc w:val="both"/>
        <w:rPr>
          <w:rFonts w:ascii="Calibri" w:hAnsi="Calibri" w:cs="Arial"/>
          <w:sz w:val="20"/>
          <w:szCs w:val="20"/>
        </w:rPr>
      </w:pPr>
      <w:r>
        <w:rPr>
          <w:rFonts w:ascii="Calibri" w:hAnsi="Calibri" w:cs="Arial"/>
          <w:sz w:val="20"/>
          <w:szCs w:val="20"/>
        </w:rPr>
        <w:t>Les Conseils de recours se réunissent à partir du 16 août pour les décisions des conseils de classe de juin et à partir du 16 septembre pour les décisions des conseils de classe de septembre. La décision du conseil de recours vous est envoyée par courrier recommandé.</w:t>
      </w:r>
    </w:p>
    <w:p>
      <w:pPr>
        <w:autoSpaceDE w:val="0"/>
        <w:autoSpaceDN w:val="0"/>
        <w:adjustRightInd w:val="0"/>
        <w:rPr>
          <w:rFonts w:ascii="Calibri" w:hAnsi="Calibri" w:cs="Arial"/>
          <w:b/>
          <w:bCs/>
          <w:sz w:val="22"/>
          <w:szCs w:val="28"/>
          <w:u w:val="single"/>
        </w:rPr>
      </w:pPr>
      <w:r>
        <w:rPr>
          <w:rFonts w:ascii="Calibri" w:hAnsi="Calibri" w:cs="Arial"/>
          <w:b/>
          <w:bCs/>
          <w:sz w:val="28"/>
          <w:szCs w:val="28"/>
        </w:rPr>
        <w:br w:type="page"/>
      </w:r>
      <w:r>
        <w:rPr>
          <w:rFonts w:ascii="Calibri" w:hAnsi="Calibri" w:cs="Arial"/>
          <w:b/>
          <w:bCs/>
          <w:sz w:val="22"/>
          <w:szCs w:val="28"/>
          <w:u w:val="single"/>
        </w:rPr>
        <w:t>Annexe 1</w:t>
      </w:r>
    </w:p>
    <w:p>
      <w:pPr>
        <w:autoSpaceDE w:val="0"/>
        <w:autoSpaceDN w:val="0"/>
        <w:adjustRightInd w:val="0"/>
        <w:ind w:left="360"/>
        <w:rPr>
          <w:rFonts w:ascii="Calibri" w:hAnsi="Calibri" w:cs="Arial"/>
          <w:b/>
          <w:bCs/>
          <w:sz w:val="28"/>
          <w:szCs w:val="28"/>
        </w:rPr>
      </w:pPr>
    </w:p>
    <w:p>
      <w:pPr>
        <w:autoSpaceDE w:val="0"/>
        <w:autoSpaceDN w:val="0"/>
        <w:adjustRightInd w:val="0"/>
        <w:ind w:left="360"/>
        <w:jc w:val="center"/>
        <w:rPr>
          <w:rFonts w:ascii="Calibri" w:hAnsi="Calibri" w:cs="Arial"/>
          <w:b/>
          <w:bCs/>
          <w:sz w:val="28"/>
          <w:szCs w:val="28"/>
        </w:rPr>
      </w:pPr>
      <w:r>
        <w:rPr>
          <w:rFonts w:ascii="Calibri" w:hAnsi="Calibri" w:cs="Arial"/>
          <w:b/>
          <w:bCs/>
          <w:sz w:val="28"/>
          <w:szCs w:val="28"/>
        </w:rPr>
        <w:t>PROCEDURE DE CONCILIATION INTERNE (Volet 1)</w:t>
      </w:r>
    </w:p>
    <w:p>
      <w:pPr>
        <w:autoSpaceDE w:val="0"/>
        <w:autoSpaceDN w:val="0"/>
        <w:adjustRightInd w:val="0"/>
        <w:jc w:val="both"/>
        <w:rPr>
          <w:rFonts w:ascii="Calibri" w:hAnsi="Calibri" w:cs="Arial"/>
          <w:b/>
          <w:bCs/>
          <w:sz w:val="28"/>
          <w:szCs w:val="28"/>
        </w:rPr>
      </w:pPr>
    </w:p>
    <w:p>
      <w:pPr>
        <w:autoSpaceDE w:val="0"/>
        <w:autoSpaceDN w:val="0"/>
        <w:adjustRightInd w:val="0"/>
        <w:rPr>
          <w:rFonts w:ascii="Calibri" w:hAnsi="Calibri" w:cs="Arial"/>
          <w:b/>
          <w:sz w:val="22"/>
          <w:szCs w:val="22"/>
        </w:rPr>
      </w:pPr>
      <w:r>
        <w:rPr>
          <w:rFonts w:ascii="Calibri" w:hAnsi="Calibri" w:cs="Arial"/>
          <w:b/>
          <w:sz w:val="22"/>
          <w:szCs w:val="22"/>
        </w:rPr>
        <w:t>Je soussigné(e)</w:t>
      </w:r>
    </w:p>
    <w:p>
      <w:pPr>
        <w:autoSpaceDE w:val="0"/>
        <w:autoSpaceDN w:val="0"/>
        <w:adjustRightInd w:val="0"/>
        <w:jc w:val="center"/>
        <w:rPr>
          <w:rFonts w:ascii="Calibri" w:hAnsi="Calibri" w:cs="Arial"/>
          <w:b/>
          <w:sz w:val="22"/>
          <w:szCs w:val="22"/>
        </w:rPr>
      </w:pPr>
    </w:p>
    <w:p>
      <w:pPr>
        <w:autoSpaceDE w:val="0"/>
        <w:autoSpaceDN w:val="0"/>
        <w:adjustRightInd w:val="0"/>
        <w:spacing w:before="60"/>
        <w:rPr>
          <w:rFonts w:ascii="Calibri" w:hAnsi="Calibri" w:cs="Arial"/>
          <w:sz w:val="22"/>
          <w:szCs w:val="22"/>
        </w:rPr>
      </w:pPr>
      <w:r>
        <w:rPr>
          <w:rFonts w:ascii="Calibri" w:hAnsi="Calibri" w:cs="Arial"/>
          <w:sz w:val="22"/>
          <w:szCs w:val="22"/>
        </w:rPr>
        <w:fldChar w:fldCharType="begin">
          <w:ffData>
            <w:name w:val="CaseACocher1"/>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Père, mère ou représentants légaux d'un élève mineur</w:t>
      </w:r>
    </w:p>
    <w:p>
      <w:pPr>
        <w:autoSpaceDE w:val="0"/>
        <w:autoSpaceDN w:val="0"/>
        <w:adjustRightInd w:val="0"/>
        <w:spacing w:before="60"/>
        <w:rPr>
          <w:rFonts w:ascii="Calibri" w:hAnsi="Calibri" w:cs="Arial"/>
          <w:sz w:val="22"/>
          <w:szCs w:val="22"/>
        </w:rPr>
      </w:pPr>
      <w:r>
        <w:rPr>
          <w:rFonts w:ascii="Calibri" w:hAnsi="Calibri" w:cs="Arial"/>
          <w:sz w:val="22"/>
          <w:szCs w:val="22"/>
        </w:rPr>
        <w:fldChar w:fldCharType="begin">
          <w:ffData>
            <w:name w:val="CaseACocher2"/>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Elève majeur</w:t>
      </w:r>
    </w:p>
    <w:p>
      <w:pPr>
        <w:tabs>
          <w:tab w:val="right" w:leader="dot" w:pos="10260"/>
        </w:tabs>
        <w:autoSpaceDE w:val="0"/>
        <w:autoSpaceDN w:val="0"/>
        <w:adjustRightInd w:val="0"/>
        <w:spacing w:before="120"/>
        <w:rPr>
          <w:rFonts w:ascii="Calibri" w:hAnsi="Calibri" w:cs="Arial"/>
          <w:sz w:val="22"/>
          <w:szCs w:val="22"/>
        </w:rPr>
      </w:pPr>
      <w:r>
        <w:rPr>
          <w:rFonts w:ascii="Calibri" w:hAnsi="Calibri" w:cs="Arial"/>
          <w:sz w:val="22"/>
          <w:szCs w:val="22"/>
        </w:rPr>
        <w:t xml:space="preserve">NOM : </w:t>
      </w:r>
      <w:r>
        <w:rPr>
          <w:rFonts w:ascii="Calibri" w:hAnsi="Calibri" w:cs="Arial"/>
          <w:sz w:val="22"/>
          <w:szCs w:val="22"/>
        </w:rPr>
        <w:tab/>
      </w:r>
    </w:p>
    <w:p>
      <w:pPr>
        <w:tabs>
          <w:tab w:val="right" w:leader="dot" w:pos="10260"/>
        </w:tabs>
        <w:autoSpaceDE w:val="0"/>
        <w:autoSpaceDN w:val="0"/>
        <w:adjustRightInd w:val="0"/>
        <w:spacing w:before="120"/>
        <w:rPr>
          <w:rFonts w:ascii="Calibri" w:hAnsi="Calibri" w:cs="Arial"/>
          <w:sz w:val="22"/>
          <w:szCs w:val="22"/>
        </w:rPr>
      </w:pPr>
      <w:r>
        <w:rPr>
          <w:rFonts w:ascii="Calibri" w:hAnsi="Calibri" w:cs="Arial"/>
          <w:sz w:val="22"/>
          <w:szCs w:val="22"/>
        </w:rPr>
        <w:t>PRENOM :</w:t>
      </w:r>
      <w:r>
        <w:rPr>
          <w:rFonts w:ascii="Calibri" w:hAnsi="Calibri" w:cs="Arial"/>
          <w:sz w:val="22"/>
          <w:szCs w:val="22"/>
        </w:rPr>
        <w:tab/>
      </w:r>
    </w:p>
    <w:p>
      <w:pPr>
        <w:tabs>
          <w:tab w:val="right" w:leader="dot" w:pos="10260"/>
        </w:tabs>
        <w:autoSpaceDE w:val="0"/>
        <w:autoSpaceDN w:val="0"/>
        <w:adjustRightInd w:val="0"/>
        <w:spacing w:before="120"/>
        <w:rPr>
          <w:rFonts w:ascii="Calibri" w:hAnsi="Calibri" w:cs="Arial"/>
          <w:sz w:val="22"/>
          <w:szCs w:val="22"/>
        </w:rPr>
      </w:pPr>
      <w:r>
        <w:rPr>
          <w:rFonts w:ascii="Calibri" w:hAnsi="Calibri" w:cs="Arial"/>
          <w:sz w:val="22"/>
          <w:szCs w:val="22"/>
        </w:rPr>
        <w:t xml:space="preserve">DATE DE NAISSANCE : </w:t>
      </w:r>
      <w:r>
        <w:rPr>
          <w:rFonts w:ascii="Calibri" w:hAnsi="Calibri" w:cs="Arial"/>
          <w:sz w:val="22"/>
          <w:szCs w:val="22"/>
        </w:rPr>
        <w:tab/>
      </w:r>
    </w:p>
    <w:p>
      <w:pPr>
        <w:tabs>
          <w:tab w:val="right" w:leader="dot" w:pos="10260"/>
        </w:tabs>
        <w:autoSpaceDE w:val="0"/>
        <w:autoSpaceDN w:val="0"/>
        <w:adjustRightInd w:val="0"/>
        <w:spacing w:before="120"/>
        <w:rPr>
          <w:rFonts w:ascii="Calibri" w:hAnsi="Calibri" w:cs="Arial"/>
          <w:sz w:val="22"/>
          <w:szCs w:val="22"/>
        </w:rPr>
      </w:pPr>
      <w:r>
        <w:rPr>
          <w:rFonts w:ascii="Calibri" w:hAnsi="Calibri" w:cs="Arial"/>
          <w:sz w:val="22"/>
          <w:szCs w:val="22"/>
        </w:rPr>
        <w:t xml:space="preserve">ADRESSE (Rue, n°, code postal, localité) : </w:t>
      </w:r>
      <w:r>
        <w:rPr>
          <w:rFonts w:ascii="Calibri" w:hAnsi="Calibri" w:cs="Arial"/>
          <w:sz w:val="22"/>
          <w:szCs w:val="22"/>
        </w:rPr>
        <w:tab/>
      </w:r>
    </w:p>
    <w:p>
      <w:pPr>
        <w:tabs>
          <w:tab w:val="right" w:leader="dot" w:pos="10260"/>
        </w:tabs>
        <w:autoSpaceDE w:val="0"/>
        <w:autoSpaceDN w:val="0"/>
        <w:adjustRightInd w:val="0"/>
        <w:spacing w:before="120"/>
        <w:rPr>
          <w:rFonts w:ascii="Calibri" w:hAnsi="Calibri" w:cs="Arial"/>
          <w:sz w:val="22"/>
          <w:szCs w:val="22"/>
        </w:rPr>
      </w:pPr>
      <w:r>
        <w:rPr>
          <w:rFonts w:ascii="Calibri" w:hAnsi="Calibri" w:cs="Arial"/>
          <w:sz w:val="22"/>
          <w:szCs w:val="22"/>
        </w:rPr>
        <w:t xml:space="preserve">TELEPHONE : </w:t>
      </w:r>
      <w:r>
        <w:rPr>
          <w:rFonts w:ascii="Calibri" w:hAnsi="Calibri" w:cs="Arial"/>
          <w:sz w:val="22"/>
          <w:szCs w:val="22"/>
        </w:rPr>
        <w:tab/>
      </w:r>
    </w:p>
    <w:p>
      <w:pPr>
        <w:tabs>
          <w:tab w:val="right" w:leader="dot" w:pos="10260"/>
        </w:tabs>
        <w:autoSpaceDE w:val="0"/>
        <w:autoSpaceDN w:val="0"/>
        <w:adjustRightInd w:val="0"/>
        <w:spacing w:before="120"/>
        <w:rPr>
          <w:rFonts w:ascii="Calibri" w:hAnsi="Calibri" w:cs="Arial"/>
          <w:sz w:val="22"/>
          <w:szCs w:val="22"/>
        </w:rPr>
      </w:pPr>
      <w:r>
        <w:rPr>
          <w:rFonts w:ascii="Calibri" w:hAnsi="Calibri" w:cs="Arial"/>
          <w:sz w:val="22"/>
          <w:szCs w:val="22"/>
        </w:rPr>
        <w:t xml:space="preserve">ADRESSE MAIL : </w:t>
      </w:r>
      <w:r>
        <w:rPr>
          <w:rFonts w:ascii="Calibri" w:hAnsi="Calibri" w:cs="Arial"/>
          <w:sz w:val="22"/>
          <w:szCs w:val="22"/>
        </w:rPr>
        <w:tab/>
      </w:r>
    </w:p>
    <w:p>
      <w:pPr>
        <w:autoSpaceDE w:val="0"/>
        <w:autoSpaceDN w:val="0"/>
        <w:adjustRightInd w:val="0"/>
        <w:rPr>
          <w:rFonts w:ascii="Calibri" w:hAnsi="Calibri" w:cs="Arial"/>
          <w:sz w:val="22"/>
          <w:szCs w:val="22"/>
        </w:rPr>
      </w:pPr>
    </w:p>
    <w:p>
      <w:pPr>
        <w:autoSpaceDE w:val="0"/>
        <w:autoSpaceDN w:val="0"/>
        <w:adjustRightInd w:val="0"/>
        <w:jc w:val="both"/>
        <w:rPr>
          <w:rFonts w:ascii="Calibri" w:hAnsi="Calibri" w:cs="Arial"/>
          <w:b/>
          <w:sz w:val="22"/>
          <w:szCs w:val="22"/>
        </w:rPr>
      </w:pPr>
      <w:r>
        <w:rPr>
          <w:rFonts w:ascii="Calibri" w:hAnsi="Calibri" w:cs="Arial"/>
          <w:b/>
          <w:sz w:val="22"/>
          <w:szCs w:val="22"/>
        </w:rPr>
        <w:t>Souhaite que le Conseil de classe réexamine sa décision à propos de l'élève (à compléter uniquement pour l'élève mineur) :</w:t>
      </w:r>
    </w:p>
    <w:p>
      <w:pPr>
        <w:tabs>
          <w:tab w:val="right" w:leader="dot" w:pos="10260"/>
        </w:tabs>
        <w:autoSpaceDE w:val="0"/>
        <w:autoSpaceDN w:val="0"/>
        <w:adjustRightInd w:val="0"/>
        <w:spacing w:before="120"/>
        <w:rPr>
          <w:rFonts w:ascii="Calibri" w:hAnsi="Calibri" w:cs="Arial"/>
          <w:sz w:val="22"/>
          <w:szCs w:val="22"/>
        </w:rPr>
      </w:pPr>
      <w:r>
        <w:rPr>
          <w:rFonts w:ascii="Calibri" w:hAnsi="Calibri" w:cs="Arial"/>
          <w:sz w:val="22"/>
          <w:szCs w:val="22"/>
        </w:rPr>
        <w:t xml:space="preserve">NOM : </w:t>
      </w:r>
      <w:r>
        <w:rPr>
          <w:rFonts w:ascii="Calibri" w:hAnsi="Calibri" w:cs="Arial"/>
          <w:sz w:val="22"/>
          <w:szCs w:val="22"/>
        </w:rPr>
        <w:tab/>
      </w:r>
    </w:p>
    <w:p>
      <w:pPr>
        <w:tabs>
          <w:tab w:val="right" w:leader="dot" w:pos="10260"/>
        </w:tabs>
        <w:autoSpaceDE w:val="0"/>
        <w:autoSpaceDN w:val="0"/>
        <w:adjustRightInd w:val="0"/>
        <w:spacing w:before="120"/>
        <w:rPr>
          <w:rFonts w:ascii="Calibri" w:hAnsi="Calibri" w:cs="Arial"/>
          <w:sz w:val="22"/>
          <w:szCs w:val="22"/>
        </w:rPr>
      </w:pPr>
      <w:r>
        <w:rPr>
          <w:rFonts w:ascii="Calibri" w:hAnsi="Calibri" w:cs="Arial"/>
          <w:sz w:val="22"/>
          <w:szCs w:val="22"/>
        </w:rPr>
        <w:t>PRENOM :</w:t>
      </w:r>
      <w:r>
        <w:rPr>
          <w:rFonts w:ascii="Calibri" w:hAnsi="Calibri" w:cs="Arial"/>
          <w:sz w:val="22"/>
          <w:szCs w:val="22"/>
        </w:rPr>
        <w:tab/>
      </w:r>
    </w:p>
    <w:p>
      <w:pPr>
        <w:tabs>
          <w:tab w:val="right" w:leader="dot" w:pos="10260"/>
        </w:tabs>
        <w:autoSpaceDE w:val="0"/>
        <w:autoSpaceDN w:val="0"/>
        <w:adjustRightInd w:val="0"/>
        <w:spacing w:before="120"/>
        <w:rPr>
          <w:rFonts w:ascii="Calibri" w:hAnsi="Calibri" w:cs="Arial"/>
          <w:sz w:val="22"/>
          <w:szCs w:val="22"/>
        </w:rPr>
      </w:pPr>
      <w:r>
        <w:rPr>
          <w:rFonts w:ascii="Calibri" w:hAnsi="Calibri" w:cs="Arial"/>
          <w:sz w:val="22"/>
          <w:szCs w:val="22"/>
        </w:rPr>
        <w:t xml:space="preserve">DATE DE NAISSANCE : </w:t>
      </w:r>
      <w:r>
        <w:rPr>
          <w:rFonts w:ascii="Calibri" w:hAnsi="Calibri" w:cs="Arial"/>
          <w:sz w:val="22"/>
          <w:szCs w:val="22"/>
        </w:rPr>
        <w:tab/>
      </w:r>
    </w:p>
    <w:p>
      <w:pPr>
        <w:tabs>
          <w:tab w:val="right" w:leader="dot" w:pos="10260"/>
        </w:tabs>
        <w:autoSpaceDE w:val="0"/>
        <w:autoSpaceDN w:val="0"/>
        <w:adjustRightInd w:val="0"/>
        <w:spacing w:before="120"/>
        <w:rPr>
          <w:rFonts w:ascii="Calibri" w:hAnsi="Calibri" w:cs="Arial"/>
          <w:sz w:val="22"/>
          <w:szCs w:val="22"/>
        </w:rPr>
      </w:pPr>
      <w:r>
        <w:rPr>
          <w:rFonts w:ascii="Calibri" w:hAnsi="Calibri" w:cs="Arial"/>
          <w:sz w:val="22"/>
          <w:szCs w:val="22"/>
        </w:rPr>
        <w:t xml:space="preserve">ADRESSE (Rue, n°, code postal, localité) : </w:t>
      </w:r>
      <w:r>
        <w:rPr>
          <w:rFonts w:ascii="Calibri" w:hAnsi="Calibri" w:cs="Arial"/>
          <w:sz w:val="22"/>
          <w:szCs w:val="22"/>
        </w:rPr>
        <w:tab/>
      </w:r>
    </w:p>
    <w:p>
      <w:pPr>
        <w:tabs>
          <w:tab w:val="right" w:leader="dot" w:pos="10260"/>
        </w:tabs>
        <w:autoSpaceDE w:val="0"/>
        <w:autoSpaceDN w:val="0"/>
        <w:adjustRightInd w:val="0"/>
        <w:spacing w:before="120"/>
        <w:rPr>
          <w:rFonts w:ascii="Calibri" w:hAnsi="Calibri" w:cs="Arial"/>
          <w:sz w:val="22"/>
          <w:szCs w:val="22"/>
        </w:rPr>
      </w:pPr>
      <w:r>
        <w:rPr>
          <w:rFonts w:ascii="Calibri" w:hAnsi="Calibri" w:cs="Arial"/>
          <w:sz w:val="22"/>
          <w:szCs w:val="22"/>
        </w:rPr>
        <w:t xml:space="preserve">TELEPHONE : </w:t>
      </w:r>
      <w:r>
        <w:rPr>
          <w:rFonts w:ascii="Calibri" w:hAnsi="Calibri" w:cs="Arial"/>
          <w:sz w:val="22"/>
          <w:szCs w:val="22"/>
        </w:rPr>
        <w:tab/>
      </w:r>
    </w:p>
    <w:p>
      <w:pPr>
        <w:tabs>
          <w:tab w:val="right" w:leader="dot" w:pos="10260"/>
        </w:tabs>
        <w:autoSpaceDE w:val="0"/>
        <w:autoSpaceDN w:val="0"/>
        <w:adjustRightInd w:val="0"/>
        <w:spacing w:before="120"/>
        <w:rPr>
          <w:rFonts w:ascii="Calibri" w:hAnsi="Calibri" w:cs="Arial"/>
          <w:sz w:val="22"/>
          <w:szCs w:val="22"/>
        </w:rPr>
      </w:pPr>
      <w:r>
        <w:rPr>
          <w:rFonts w:ascii="Calibri" w:hAnsi="Calibri" w:cs="Arial"/>
          <w:sz w:val="22"/>
          <w:szCs w:val="22"/>
        </w:rPr>
        <w:t xml:space="preserve">ADRESSE MAIL : </w:t>
      </w:r>
      <w:r>
        <w:rPr>
          <w:rFonts w:ascii="Calibri" w:hAnsi="Calibri" w:cs="Arial"/>
          <w:sz w:val="22"/>
          <w:szCs w:val="22"/>
        </w:rPr>
        <w:tab/>
      </w:r>
    </w:p>
    <w:p>
      <w:pPr>
        <w:tabs>
          <w:tab w:val="right" w:leader="dot" w:pos="10260"/>
        </w:tabs>
        <w:autoSpaceDE w:val="0"/>
        <w:autoSpaceDN w:val="0"/>
        <w:adjustRightInd w:val="0"/>
        <w:spacing w:before="120"/>
        <w:rPr>
          <w:rFonts w:ascii="Calibri" w:hAnsi="Calibri" w:cs="Arial"/>
          <w:sz w:val="22"/>
          <w:szCs w:val="22"/>
        </w:rPr>
      </w:pPr>
    </w:p>
    <w:p>
      <w:pPr>
        <w:tabs>
          <w:tab w:val="right" w:leader="dot" w:pos="10260"/>
        </w:tabs>
        <w:autoSpaceDE w:val="0"/>
        <w:autoSpaceDN w:val="0"/>
        <w:adjustRightInd w:val="0"/>
        <w:spacing w:before="120"/>
        <w:rPr>
          <w:rFonts w:ascii="Calibri" w:hAnsi="Calibri" w:cs="Arial"/>
          <w:sz w:val="22"/>
          <w:szCs w:val="22"/>
        </w:rPr>
      </w:pPr>
      <w:r>
        <w:rPr>
          <w:rFonts w:ascii="Calibri" w:hAnsi="Calibri" w:cs="Arial"/>
          <w:sz w:val="22"/>
          <w:szCs w:val="22"/>
        </w:rPr>
        <w:t xml:space="preserve">ANNEE D'ETUDE DE L'ELEVE : </w:t>
      </w:r>
      <w:r>
        <w:rPr>
          <w:rFonts w:ascii="Calibri" w:hAnsi="Calibri" w:cs="Arial"/>
          <w:sz w:val="22"/>
          <w:szCs w:val="22"/>
        </w:rPr>
        <w:tab/>
      </w:r>
    </w:p>
    <w:p>
      <w:pPr>
        <w:autoSpaceDE w:val="0"/>
        <w:autoSpaceDN w:val="0"/>
        <w:adjustRightInd w:val="0"/>
        <w:rPr>
          <w:rFonts w:ascii="Calibri" w:hAnsi="Calibri" w:cs="Arial"/>
          <w:sz w:val="22"/>
          <w:szCs w:val="22"/>
        </w:rPr>
      </w:pPr>
    </w:p>
    <w:p>
      <w:pPr>
        <w:autoSpaceDE w:val="0"/>
        <w:autoSpaceDN w:val="0"/>
        <w:adjustRightInd w:val="0"/>
        <w:rPr>
          <w:rFonts w:ascii="Calibri" w:hAnsi="Calibri" w:cs="Arial"/>
          <w:sz w:val="22"/>
          <w:szCs w:val="22"/>
        </w:rPr>
      </w:pPr>
      <w:r>
        <w:rPr>
          <w:rFonts w:ascii="Calibri" w:hAnsi="Calibri" w:cs="Arial"/>
          <w:sz w:val="22"/>
          <w:szCs w:val="22"/>
        </w:rPr>
        <w:t xml:space="preserve">ENSEIGNEMENT </w:t>
      </w:r>
    </w:p>
    <w:tbl>
      <w:tblPr>
        <w:tblW w:w="5000" w:type="pct"/>
        <w:tblLook w:val="01E0" w:firstRow="1" w:lastRow="1" w:firstColumn="1" w:lastColumn="1" w:noHBand="0" w:noVBand="0"/>
      </w:tblPr>
      <w:tblGrid>
        <w:gridCol w:w="4535"/>
        <w:gridCol w:w="4535"/>
      </w:tblGrid>
      <w:tr>
        <w:tc>
          <w:tcPr>
            <w:tcW w:w="2500" w:type="pct"/>
            <w:shd w:val="clear" w:color="auto" w:fill="auto"/>
          </w:tcPr>
          <w:p>
            <w:pPr>
              <w:autoSpaceDE w:val="0"/>
              <w:autoSpaceDN w:val="0"/>
              <w:adjustRightInd w:val="0"/>
              <w:spacing w:before="60"/>
              <w:rPr>
                <w:rFonts w:ascii="Calibri" w:hAnsi="Calibri" w:cs="Arial"/>
                <w:sz w:val="22"/>
                <w:szCs w:val="22"/>
              </w:rPr>
            </w:pPr>
            <w:r>
              <w:rPr>
                <w:rFonts w:ascii="Calibri" w:hAnsi="Calibri" w:cs="Arial"/>
                <w:sz w:val="22"/>
                <w:szCs w:val="22"/>
              </w:rPr>
              <w:fldChar w:fldCharType="begin">
                <w:ffData>
                  <w:name w:val="CaseACocher3"/>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GENERAL</w:t>
            </w:r>
          </w:p>
        </w:tc>
        <w:tc>
          <w:tcPr>
            <w:tcW w:w="2500" w:type="pct"/>
            <w:shd w:val="clear" w:color="auto" w:fill="auto"/>
          </w:tcPr>
          <w:p>
            <w:pPr>
              <w:autoSpaceDE w:val="0"/>
              <w:autoSpaceDN w:val="0"/>
              <w:adjustRightInd w:val="0"/>
              <w:spacing w:before="60"/>
              <w:rPr>
                <w:rFonts w:ascii="Calibri" w:hAnsi="Calibri" w:cs="Arial"/>
                <w:sz w:val="22"/>
                <w:szCs w:val="22"/>
              </w:rPr>
            </w:pPr>
            <w:r>
              <w:rPr>
                <w:rFonts w:ascii="Calibri" w:hAnsi="Calibri" w:cs="Arial"/>
                <w:sz w:val="22"/>
                <w:szCs w:val="22"/>
              </w:rPr>
              <w:fldChar w:fldCharType="begin">
                <w:ffData>
                  <w:name w:val="CaseACocher6"/>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TECHNIQUE DE QUALIFICATION</w:t>
            </w:r>
          </w:p>
        </w:tc>
      </w:tr>
      <w:tr>
        <w:tc>
          <w:tcPr>
            <w:tcW w:w="2500" w:type="pct"/>
            <w:shd w:val="clear" w:color="auto" w:fill="auto"/>
          </w:tcPr>
          <w:p>
            <w:pPr>
              <w:autoSpaceDE w:val="0"/>
              <w:autoSpaceDN w:val="0"/>
              <w:adjustRightInd w:val="0"/>
              <w:spacing w:before="60"/>
              <w:rPr>
                <w:rFonts w:ascii="Calibri" w:hAnsi="Calibri" w:cs="Arial"/>
                <w:sz w:val="22"/>
                <w:szCs w:val="22"/>
              </w:rPr>
            </w:pPr>
            <w:r>
              <w:rPr>
                <w:rFonts w:ascii="Calibri" w:hAnsi="Calibri" w:cs="Arial"/>
                <w:sz w:val="22"/>
                <w:szCs w:val="22"/>
              </w:rPr>
              <w:fldChar w:fldCharType="begin">
                <w:ffData>
                  <w:name w:val="CaseACocher4"/>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TECHNIQUE DE TRANSITION</w:t>
            </w:r>
          </w:p>
        </w:tc>
        <w:tc>
          <w:tcPr>
            <w:tcW w:w="2500" w:type="pct"/>
            <w:shd w:val="clear" w:color="auto" w:fill="auto"/>
          </w:tcPr>
          <w:p>
            <w:pPr>
              <w:autoSpaceDE w:val="0"/>
              <w:autoSpaceDN w:val="0"/>
              <w:adjustRightInd w:val="0"/>
              <w:spacing w:before="60"/>
              <w:rPr>
                <w:rFonts w:ascii="Calibri" w:hAnsi="Calibri" w:cs="Arial"/>
                <w:sz w:val="22"/>
                <w:szCs w:val="22"/>
              </w:rPr>
            </w:pPr>
            <w:r>
              <w:rPr>
                <w:rFonts w:ascii="Calibri" w:hAnsi="Calibri" w:cs="Arial"/>
                <w:sz w:val="22"/>
                <w:szCs w:val="22"/>
              </w:rPr>
              <w:fldChar w:fldCharType="begin">
                <w:ffData>
                  <w:name w:val="CaseACocher7"/>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ARTISTIQUE DE QUALIFICATION</w:t>
            </w:r>
          </w:p>
        </w:tc>
      </w:tr>
      <w:tr>
        <w:tc>
          <w:tcPr>
            <w:tcW w:w="2500" w:type="pct"/>
            <w:shd w:val="clear" w:color="auto" w:fill="auto"/>
          </w:tcPr>
          <w:p>
            <w:pPr>
              <w:autoSpaceDE w:val="0"/>
              <w:autoSpaceDN w:val="0"/>
              <w:adjustRightInd w:val="0"/>
              <w:spacing w:before="60"/>
              <w:rPr>
                <w:rFonts w:ascii="Calibri" w:hAnsi="Calibri" w:cs="Arial"/>
                <w:sz w:val="22"/>
                <w:szCs w:val="22"/>
              </w:rPr>
            </w:pPr>
            <w:r>
              <w:rPr>
                <w:rFonts w:ascii="Calibri" w:hAnsi="Calibri" w:cs="Arial"/>
                <w:sz w:val="22"/>
                <w:szCs w:val="22"/>
              </w:rPr>
              <w:fldChar w:fldCharType="begin">
                <w:ffData>
                  <w:name w:val="CaseACocher5"/>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ARTISTIQUE DE TRANSITION</w:t>
            </w:r>
          </w:p>
        </w:tc>
        <w:tc>
          <w:tcPr>
            <w:tcW w:w="2500" w:type="pct"/>
            <w:shd w:val="clear" w:color="auto" w:fill="auto"/>
          </w:tcPr>
          <w:p>
            <w:pPr>
              <w:autoSpaceDE w:val="0"/>
              <w:autoSpaceDN w:val="0"/>
              <w:adjustRightInd w:val="0"/>
              <w:spacing w:before="60"/>
              <w:rPr>
                <w:rFonts w:ascii="Calibri" w:hAnsi="Calibri" w:cs="Arial"/>
                <w:sz w:val="22"/>
                <w:szCs w:val="22"/>
              </w:rPr>
            </w:pPr>
            <w:r>
              <w:rPr>
                <w:rFonts w:ascii="Calibri" w:hAnsi="Calibri" w:cs="Arial"/>
                <w:sz w:val="22"/>
                <w:szCs w:val="22"/>
              </w:rPr>
              <w:fldChar w:fldCharType="begin">
                <w:ffData>
                  <w:name w:val="CaseACocher8"/>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PROFESSIONNEL</w:t>
            </w:r>
          </w:p>
        </w:tc>
      </w:tr>
    </w:tbl>
    <w:p>
      <w:pPr>
        <w:autoSpaceDE w:val="0"/>
        <w:autoSpaceDN w:val="0"/>
        <w:adjustRightInd w:val="0"/>
        <w:rPr>
          <w:rFonts w:ascii="Calibri" w:hAnsi="Calibri" w:cs="Arial"/>
          <w:sz w:val="22"/>
          <w:szCs w:val="22"/>
        </w:rPr>
      </w:pP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 xml:space="preserve">Option </w:t>
      </w: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Décision du Conseil de classe</w:t>
      </w:r>
    </w:p>
    <w:p>
      <w:pPr>
        <w:tabs>
          <w:tab w:val="right" w:leader="dot" w:pos="10260"/>
        </w:tabs>
        <w:autoSpaceDE w:val="0"/>
        <w:autoSpaceDN w:val="0"/>
        <w:adjustRightInd w:val="0"/>
        <w:spacing w:before="60"/>
        <w:rPr>
          <w:rFonts w:ascii="Calibri" w:hAnsi="Calibri" w:cs="Arial"/>
          <w:sz w:val="22"/>
          <w:szCs w:val="22"/>
        </w:rPr>
      </w:pPr>
      <w:r>
        <w:rPr>
          <w:rFonts w:ascii="Calibri" w:hAnsi="Calibri" w:cs="Arial"/>
          <w:sz w:val="22"/>
          <w:szCs w:val="22"/>
        </w:rPr>
        <w:fldChar w:fldCharType="begin">
          <w:ffData>
            <w:name w:val="CaseACocher13"/>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Attestation d'orientation C</w:t>
      </w:r>
    </w:p>
    <w:p>
      <w:pPr>
        <w:tabs>
          <w:tab w:val="right" w:leader="dot" w:pos="10260"/>
        </w:tabs>
        <w:autoSpaceDE w:val="0"/>
        <w:autoSpaceDN w:val="0"/>
        <w:adjustRightInd w:val="0"/>
        <w:spacing w:before="60"/>
        <w:ind w:left="360" w:hanging="360"/>
        <w:rPr>
          <w:rFonts w:ascii="Calibri" w:hAnsi="Calibri" w:cs="Arial"/>
          <w:sz w:val="22"/>
          <w:szCs w:val="22"/>
        </w:rPr>
      </w:pPr>
      <w:r>
        <w:rPr>
          <w:rFonts w:ascii="Calibri" w:hAnsi="Calibri" w:cs="Arial"/>
          <w:sz w:val="22"/>
          <w:szCs w:val="22"/>
        </w:rPr>
        <w:fldChar w:fldCharType="begin">
          <w:ffData>
            <w:name w:val="CaseACocher14"/>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Attestation d'orientation B n'admettant qu'à </w:t>
      </w:r>
      <w:r>
        <w:rPr>
          <w:rFonts w:ascii="Calibri" w:hAnsi="Calibri" w:cs="Arial"/>
          <w:sz w:val="22"/>
          <w:szCs w:val="22"/>
        </w:rPr>
        <w:tab/>
      </w:r>
    </w:p>
    <w:p>
      <w:pPr>
        <w:tabs>
          <w:tab w:val="right" w:leader="dot" w:pos="10260"/>
        </w:tabs>
        <w:autoSpaceDE w:val="0"/>
        <w:autoSpaceDN w:val="0"/>
        <w:adjustRightInd w:val="0"/>
        <w:ind w:left="360" w:hanging="360"/>
        <w:rPr>
          <w:rFonts w:ascii="Calibri" w:hAnsi="Calibri" w:cs="Arial"/>
          <w:sz w:val="22"/>
          <w:szCs w:val="22"/>
        </w:rPr>
      </w:pPr>
      <w:r>
        <w:rPr>
          <w:rFonts w:ascii="Calibri" w:hAnsi="Calibri" w:cs="Arial"/>
          <w:sz w:val="22"/>
          <w:szCs w:val="22"/>
        </w:rPr>
        <w:tab/>
      </w: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Décision du Jury de qualification</w:t>
      </w:r>
    </w:p>
    <w:p>
      <w:pPr>
        <w:tabs>
          <w:tab w:val="right" w:leader="dot" w:pos="10260"/>
        </w:tabs>
        <w:autoSpaceDE w:val="0"/>
        <w:autoSpaceDN w:val="0"/>
        <w:adjustRightInd w:val="0"/>
        <w:spacing w:before="60"/>
        <w:rPr>
          <w:rFonts w:ascii="Calibri" w:hAnsi="Calibri" w:cs="Arial"/>
          <w:sz w:val="22"/>
          <w:szCs w:val="22"/>
        </w:rPr>
      </w:pPr>
      <w:r>
        <w:rPr>
          <w:rFonts w:ascii="Calibri" w:hAnsi="Calibri" w:cs="Arial"/>
          <w:sz w:val="22"/>
          <w:szCs w:val="22"/>
        </w:rPr>
        <w:fldChar w:fldCharType="begin">
          <w:ffData>
            <w:name w:val="CaseACocher13"/>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Refus d’octroi du certificat de qualification</w:t>
      </w:r>
    </w:p>
    <w:p>
      <w:pPr>
        <w:tabs>
          <w:tab w:val="right" w:leader="dot" w:pos="10260"/>
        </w:tabs>
        <w:autoSpaceDE w:val="0"/>
        <w:autoSpaceDN w:val="0"/>
        <w:adjustRightInd w:val="0"/>
        <w:spacing w:before="60"/>
        <w:ind w:left="360" w:hanging="360"/>
        <w:rPr>
          <w:rFonts w:ascii="Calibri" w:hAnsi="Calibri" w:cs="Arial"/>
          <w:sz w:val="22"/>
          <w:szCs w:val="22"/>
        </w:rPr>
      </w:pPr>
      <w:r>
        <w:rPr>
          <w:rFonts w:ascii="Calibri" w:hAnsi="Calibri" w:cs="Arial"/>
          <w:sz w:val="22"/>
          <w:szCs w:val="22"/>
        </w:rPr>
        <w:fldChar w:fldCharType="begin">
          <w:ffData>
            <w:name w:val="CaseACocher13"/>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Autre : </w:t>
      </w:r>
      <w:r>
        <w:rPr>
          <w:rFonts w:ascii="Calibri" w:hAnsi="Calibri" w:cs="Arial"/>
          <w:sz w:val="22"/>
          <w:szCs w:val="22"/>
        </w:rPr>
        <w:tab/>
      </w:r>
    </w:p>
    <w:p>
      <w:pPr>
        <w:tabs>
          <w:tab w:val="right" w:leader="dot" w:pos="10260"/>
        </w:tabs>
        <w:autoSpaceDE w:val="0"/>
        <w:autoSpaceDN w:val="0"/>
        <w:adjustRightInd w:val="0"/>
        <w:ind w:left="360" w:hanging="360"/>
        <w:rPr>
          <w:rFonts w:ascii="Calibri" w:hAnsi="Calibri" w:cs="Arial"/>
          <w:sz w:val="22"/>
          <w:szCs w:val="22"/>
        </w:rPr>
      </w:pPr>
      <w:r>
        <w:rPr>
          <w:rFonts w:ascii="Calibri" w:hAnsi="Calibri" w:cs="Arial"/>
          <w:sz w:val="22"/>
          <w:szCs w:val="22"/>
        </w:rPr>
        <w:tab/>
      </w:r>
      <w:r>
        <w:rPr>
          <w:rFonts w:ascii="Calibri" w:hAnsi="Calibri" w:cs="Arial"/>
          <w:sz w:val="22"/>
          <w:szCs w:val="22"/>
        </w:rPr>
        <w:tab/>
      </w:r>
    </w:p>
    <w:p>
      <w:pPr>
        <w:autoSpaceDE w:val="0"/>
        <w:autoSpaceDN w:val="0"/>
        <w:adjustRightInd w:val="0"/>
        <w:rPr>
          <w:rFonts w:ascii="Calibri" w:hAnsi="Calibri" w:cs="Arial"/>
          <w:sz w:val="22"/>
          <w:szCs w:val="22"/>
        </w:rPr>
      </w:pPr>
    </w:p>
    <w:p>
      <w:pPr>
        <w:autoSpaceDE w:val="0"/>
        <w:autoSpaceDN w:val="0"/>
        <w:adjustRightInd w:val="0"/>
        <w:rPr>
          <w:rFonts w:ascii="Calibri" w:hAnsi="Calibri" w:cs="Arial"/>
          <w:sz w:val="22"/>
          <w:szCs w:val="22"/>
        </w:rPr>
      </w:pPr>
      <w:r>
        <w:rPr>
          <w:rFonts w:ascii="Calibri" w:hAnsi="Calibri" w:cs="Arial"/>
          <w:sz w:val="22"/>
          <w:szCs w:val="22"/>
        </w:rPr>
        <w:t>Raisons pour lesquelles vous souhaitez que la décision du Conseil de classe/ Jury de qualification soit réexaminée</w:t>
      </w:r>
      <w:r>
        <w:rPr>
          <w:rFonts w:ascii="Calibri" w:hAnsi="Calibri" w:cs="Arial"/>
          <w:sz w:val="22"/>
          <w:szCs w:val="22"/>
          <w:vertAlign w:val="superscript"/>
        </w:rPr>
        <w:footnoteReference w:id="4"/>
      </w:r>
      <w:r>
        <w:rPr>
          <w:rFonts w:ascii="Calibri" w:hAnsi="Calibri" w:cs="Arial"/>
          <w:sz w:val="22"/>
          <w:szCs w:val="22"/>
        </w:rPr>
        <w:t xml:space="preserve"> :</w:t>
      </w:r>
    </w:p>
    <w:p>
      <w:pPr>
        <w:tabs>
          <w:tab w:val="right" w:leader="dot" w:pos="1008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08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08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08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08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08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08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08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08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08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08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08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08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08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08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080"/>
        </w:tabs>
        <w:autoSpaceDE w:val="0"/>
        <w:autoSpaceDN w:val="0"/>
        <w:adjustRightInd w:val="0"/>
        <w:rPr>
          <w:rFonts w:ascii="Calibri" w:hAnsi="Calibri" w:cs="Arial"/>
          <w:sz w:val="22"/>
          <w:szCs w:val="22"/>
        </w:rPr>
      </w:pPr>
      <w:r>
        <w:rPr>
          <w:rFonts w:ascii="Calibri" w:hAnsi="Calibri" w:cs="Arial"/>
          <w:sz w:val="22"/>
          <w:szCs w:val="22"/>
        </w:rPr>
        <w:tab/>
      </w:r>
    </w:p>
    <w:p>
      <w:pPr>
        <w:autoSpaceDE w:val="0"/>
        <w:autoSpaceDN w:val="0"/>
        <w:adjustRightInd w:val="0"/>
        <w:rPr>
          <w:rFonts w:ascii="Calibri" w:hAnsi="Calibri" w:cs="Arial"/>
          <w:sz w:val="22"/>
          <w:szCs w:val="22"/>
        </w:rPr>
      </w:pPr>
    </w:p>
    <w:p>
      <w:pPr>
        <w:tabs>
          <w:tab w:val="right" w:leader="dot" w:pos="4680"/>
          <w:tab w:val="right" w:pos="10080"/>
        </w:tabs>
        <w:autoSpaceDE w:val="0"/>
        <w:autoSpaceDN w:val="0"/>
        <w:adjustRightInd w:val="0"/>
        <w:rPr>
          <w:rFonts w:ascii="Calibri" w:hAnsi="Calibri" w:cs="Arial"/>
          <w:sz w:val="22"/>
          <w:szCs w:val="22"/>
        </w:rPr>
      </w:pPr>
      <w:r>
        <w:rPr>
          <w:rFonts w:ascii="Calibri" w:hAnsi="Calibri" w:cs="Arial"/>
          <w:sz w:val="22"/>
          <w:szCs w:val="22"/>
        </w:rPr>
        <w:t>Date :</w:t>
      </w:r>
      <w:r>
        <w:rPr>
          <w:rFonts w:ascii="Calibri" w:hAnsi="Calibri" w:cs="Arial"/>
          <w:sz w:val="22"/>
          <w:szCs w:val="22"/>
        </w:rPr>
        <w:tab/>
        <w:t xml:space="preserve"> Lieu</w:t>
      </w:r>
      <w:r>
        <w:rPr>
          <w:rFonts w:ascii="Calibri" w:hAnsi="Calibri" w:cs="Arial"/>
          <w:sz w:val="22"/>
          <w:szCs w:val="22"/>
        </w:rPr>
        <w:tab/>
      </w:r>
    </w:p>
    <w:p>
      <w:pPr>
        <w:autoSpaceDE w:val="0"/>
        <w:autoSpaceDN w:val="0"/>
        <w:adjustRightInd w:val="0"/>
        <w:rPr>
          <w:rFonts w:ascii="Calibri" w:hAnsi="Calibri" w:cs="Arial"/>
          <w:sz w:val="22"/>
          <w:szCs w:val="22"/>
        </w:rPr>
      </w:pPr>
    </w:p>
    <w:p>
      <w:pPr>
        <w:autoSpaceDE w:val="0"/>
        <w:autoSpaceDN w:val="0"/>
        <w:adjustRightInd w:val="0"/>
        <w:rPr>
          <w:rFonts w:ascii="Calibri" w:hAnsi="Calibri" w:cs="Arial"/>
          <w:sz w:val="22"/>
          <w:szCs w:val="22"/>
        </w:rPr>
      </w:pPr>
      <w:r>
        <w:rPr>
          <w:rFonts w:ascii="Calibri" w:hAnsi="Calibri" w:cs="Arial"/>
          <w:sz w:val="22"/>
          <w:szCs w:val="22"/>
        </w:rPr>
        <w:t>Signature de l'élève majeur ou des parents (représentants légaux) de l'élève mineur</w:t>
      </w:r>
    </w:p>
    <w:p>
      <w:pPr>
        <w:autoSpaceDE w:val="0"/>
        <w:autoSpaceDN w:val="0"/>
        <w:adjustRightInd w:val="0"/>
        <w:jc w:val="both"/>
        <w:rPr>
          <w:rFonts w:ascii="Calibri" w:hAnsi="Calibri" w:cs="Arial"/>
          <w:sz w:val="22"/>
          <w:szCs w:val="22"/>
        </w:rPr>
      </w:pPr>
    </w:p>
    <w:p>
      <w:pPr>
        <w:autoSpaceDE w:val="0"/>
        <w:autoSpaceDN w:val="0"/>
        <w:adjustRightInd w:val="0"/>
        <w:jc w:val="both"/>
        <w:rPr>
          <w:rFonts w:ascii="Calibri" w:hAnsi="Calibri" w:cs="Arial"/>
          <w:sz w:val="22"/>
          <w:szCs w:val="22"/>
        </w:rPr>
      </w:pPr>
    </w:p>
    <w:p>
      <w:pPr>
        <w:autoSpaceDE w:val="0"/>
        <w:autoSpaceDN w:val="0"/>
        <w:adjustRightInd w:val="0"/>
        <w:jc w:val="both"/>
        <w:rPr>
          <w:rFonts w:ascii="Calibri" w:hAnsi="Calibri" w:cs="Arial"/>
          <w:sz w:val="22"/>
          <w:szCs w:val="22"/>
        </w:rPr>
      </w:pPr>
    </w:p>
    <w:p>
      <w:pPr>
        <w:autoSpaceDE w:val="0"/>
        <w:autoSpaceDN w:val="0"/>
        <w:adjustRightInd w:val="0"/>
        <w:jc w:val="both"/>
        <w:rPr>
          <w:rFonts w:ascii="Calibri" w:hAnsi="Calibri" w:cs="Arial"/>
          <w:sz w:val="22"/>
          <w:szCs w:val="22"/>
        </w:rPr>
      </w:pPr>
    </w:p>
    <w:p>
      <w:pPr>
        <w:autoSpaceDE w:val="0"/>
        <w:autoSpaceDN w:val="0"/>
        <w:adjustRightInd w:val="0"/>
        <w:jc w:val="both"/>
        <w:rPr>
          <w:rFonts w:ascii="Calibri" w:hAnsi="Calibri" w:cs="Arial"/>
          <w:sz w:val="22"/>
          <w:szCs w:val="22"/>
        </w:rPr>
      </w:pPr>
      <w:r>
        <w:rPr>
          <w:rFonts w:ascii="Calibri" w:hAnsi="Calibri"/>
          <w:noProof/>
          <w:lang w:val="fr-BE" w:eastAsia="fr-BE"/>
        </w:rPr>
        <mc:AlternateContent>
          <mc:Choice Requires="wps">
            <w:drawing>
              <wp:anchor distT="0" distB="0" distL="114300" distR="114300" simplePos="0" relativeHeight="251657216" behindDoc="0" locked="0" layoutInCell="1" allowOverlap="1">
                <wp:simplePos x="0" y="0"/>
                <wp:positionH relativeFrom="column">
                  <wp:posOffset>-556260</wp:posOffset>
                </wp:positionH>
                <wp:positionV relativeFrom="paragraph">
                  <wp:posOffset>158115</wp:posOffset>
                </wp:positionV>
                <wp:extent cx="6935470" cy="3354705"/>
                <wp:effectExtent l="10795" t="5715" r="6985" b="11430"/>
                <wp:wrapNone/>
                <wp:docPr id="2"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5470" cy="33547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3.8pt;margin-top:12.45pt;width:546.1pt;height:264.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" filled="f"/>
            </w:pict>
          </mc:Fallback>
        </mc:AlternateContent>
      </w:r>
    </w:p>
    <w:p>
      <w:pPr>
        <w:autoSpaceDE w:val="0"/>
        <w:autoSpaceDN w:val="0"/>
        <w:adjustRightInd w:val="0"/>
        <w:jc w:val="both"/>
        <w:rPr>
          <w:rFonts w:ascii="Calibri" w:hAnsi="Calibri" w:cs="Arial"/>
          <w:sz w:val="22"/>
          <w:szCs w:val="22"/>
        </w:rPr>
      </w:pPr>
    </w:p>
    <w:p>
      <w:pPr>
        <w:autoSpaceDE w:val="0"/>
        <w:autoSpaceDN w:val="0"/>
        <w:adjustRightInd w:val="0"/>
        <w:jc w:val="center"/>
        <w:rPr>
          <w:rFonts w:ascii="Calibri" w:hAnsi="Calibri" w:cs="Arial"/>
          <w:b/>
          <w:sz w:val="22"/>
          <w:szCs w:val="22"/>
          <w:u w:val="single"/>
        </w:rPr>
      </w:pPr>
      <w:r>
        <w:rPr>
          <w:rFonts w:ascii="Calibri" w:hAnsi="Calibri" w:cs="Arial"/>
          <w:b/>
          <w:sz w:val="22"/>
          <w:szCs w:val="22"/>
          <w:u w:val="single"/>
        </w:rPr>
        <w:t>Décision à l’issue de la procédure de conciliation interne</w:t>
      </w:r>
    </w:p>
    <w:p>
      <w:pPr>
        <w:autoSpaceDE w:val="0"/>
        <w:autoSpaceDN w:val="0"/>
        <w:adjustRightInd w:val="0"/>
        <w:jc w:val="both"/>
        <w:rPr>
          <w:rFonts w:ascii="Calibri" w:hAnsi="Calibri" w:cs="Arial"/>
          <w:sz w:val="22"/>
          <w:szCs w:val="22"/>
        </w:rPr>
      </w:pPr>
    </w:p>
    <w:p>
      <w:pPr>
        <w:autoSpaceDE w:val="0"/>
        <w:autoSpaceDN w:val="0"/>
        <w:adjustRightInd w:val="0"/>
        <w:spacing w:before="60"/>
        <w:ind w:left="360" w:hanging="360"/>
        <w:jc w:val="both"/>
        <w:rPr>
          <w:rFonts w:ascii="Calibri" w:hAnsi="Calibri" w:cs="Arial"/>
          <w:sz w:val="22"/>
          <w:szCs w:val="22"/>
        </w:rPr>
      </w:pPr>
      <w:r>
        <w:rPr>
          <w:rFonts w:ascii="Calibri" w:hAnsi="Calibri" w:cs="Arial"/>
          <w:sz w:val="22"/>
          <w:szCs w:val="22"/>
        </w:rPr>
        <w:fldChar w:fldCharType="begin">
          <w:ffData>
            <w:name w:val="CaseACocher15"/>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ab/>
        <w:t xml:space="preserve">La décision initiale est </w:t>
      </w:r>
      <w:r>
        <w:rPr>
          <w:rFonts w:ascii="Calibri" w:hAnsi="Calibri" w:cs="Arial"/>
          <w:sz w:val="22"/>
          <w:szCs w:val="22"/>
          <w:u w:val="single"/>
        </w:rPr>
        <w:t>maintenue</w:t>
      </w:r>
    </w:p>
    <w:p>
      <w:pPr>
        <w:autoSpaceDE w:val="0"/>
        <w:autoSpaceDN w:val="0"/>
        <w:adjustRightInd w:val="0"/>
        <w:spacing w:before="60"/>
        <w:ind w:left="360" w:hanging="360"/>
        <w:jc w:val="both"/>
        <w:rPr>
          <w:rFonts w:ascii="Calibri" w:hAnsi="Calibri" w:cs="Arial"/>
          <w:sz w:val="22"/>
          <w:szCs w:val="22"/>
        </w:rPr>
      </w:pPr>
      <w:r>
        <w:rPr>
          <w:rFonts w:ascii="Calibri" w:hAnsi="Calibri" w:cs="Arial"/>
          <w:sz w:val="22"/>
          <w:szCs w:val="22"/>
        </w:rPr>
        <w:fldChar w:fldCharType="begin">
          <w:ffData>
            <w:name w:val="CaseACocher16"/>
            <w:enabled/>
            <w:calcOnExit w:val="0"/>
            <w:checkBox>
              <w:sizeAuto/>
              <w:default w:val="0"/>
            </w:checkBox>
          </w:ffData>
        </w:fldChar>
      </w:r>
      <w:bookmarkStart w:id="19" w:name="CaseACocher16"/>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bookmarkEnd w:id="19"/>
      <w:r>
        <w:rPr>
          <w:rFonts w:ascii="Calibri" w:hAnsi="Calibri" w:cs="Arial"/>
          <w:sz w:val="22"/>
          <w:szCs w:val="22"/>
        </w:rPr>
        <w:tab/>
        <w:t xml:space="preserve">La décision initiale est </w:t>
      </w:r>
      <w:r>
        <w:rPr>
          <w:rFonts w:ascii="Calibri" w:hAnsi="Calibri" w:cs="Arial"/>
          <w:sz w:val="22"/>
          <w:szCs w:val="22"/>
          <w:u w:val="single"/>
        </w:rPr>
        <w:t>modifiée</w:t>
      </w:r>
      <w:r>
        <w:rPr>
          <w:rFonts w:ascii="Calibri" w:hAnsi="Calibri" w:cs="Arial"/>
          <w:sz w:val="22"/>
          <w:szCs w:val="22"/>
        </w:rPr>
        <w:t>. Le Conseil de classe a décidé de tenir compte des arguments avancés dans la procédure de conciliation interne et d'accorder à l'élève :</w:t>
      </w:r>
    </w:p>
    <w:p>
      <w:pPr>
        <w:autoSpaceDE w:val="0"/>
        <w:autoSpaceDN w:val="0"/>
        <w:adjustRightInd w:val="0"/>
        <w:ind w:left="360"/>
        <w:jc w:val="both"/>
        <w:rPr>
          <w:rFonts w:ascii="Calibri" w:hAnsi="Calibri" w:cs="Arial"/>
          <w:sz w:val="22"/>
          <w:szCs w:val="22"/>
        </w:rPr>
      </w:pPr>
      <w:r>
        <w:rPr>
          <w:rFonts w:ascii="Calibri" w:hAnsi="Calibri" w:cs="Arial"/>
          <w:sz w:val="22"/>
          <w:szCs w:val="22"/>
        </w:rPr>
        <w:fldChar w:fldCharType="begin">
          <w:ffData>
            <w:name w:val="CaseACocher17"/>
            <w:enabled/>
            <w:calcOnExit w:val="0"/>
            <w:checkBox>
              <w:sizeAuto/>
              <w:default w:val="0"/>
            </w:checkBox>
          </w:ffData>
        </w:fldChar>
      </w:r>
      <w:bookmarkStart w:id="20" w:name="CaseACocher17"/>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bookmarkEnd w:id="20"/>
      <w:r>
        <w:rPr>
          <w:rFonts w:ascii="Calibri" w:hAnsi="Calibri" w:cs="Arial"/>
          <w:sz w:val="22"/>
          <w:szCs w:val="22"/>
        </w:rPr>
        <w:tab/>
        <w:t>Une attestation d'orientation A (attestation de réussite)</w:t>
      </w:r>
    </w:p>
    <w:p>
      <w:pPr>
        <w:tabs>
          <w:tab w:val="left" w:pos="720"/>
          <w:tab w:val="right" w:leader="dot" w:pos="10080"/>
        </w:tabs>
        <w:autoSpaceDE w:val="0"/>
        <w:autoSpaceDN w:val="0"/>
        <w:adjustRightInd w:val="0"/>
        <w:ind w:left="360"/>
        <w:jc w:val="both"/>
        <w:rPr>
          <w:rFonts w:ascii="Calibri" w:hAnsi="Calibri" w:cs="Arial"/>
          <w:sz w:val="22"/>
          <w:szCs w:val="22"/>
        </w:rPr>
      </w:pPr>
      <w:r>
        <w:rPr>
          <w:rFonts w:ascii="Calibri" w:hAnsi="Calibri" w:cs="Arial"/>
          <w:sz w:val="22"/>
          <w:szCs w:val="22"/>
        </w:rPr>
        <w:fldChar w:fldCharType="begin">
          <w:ffData>
            <w:name w:val="CaseACocher18"/>
            <w:enabled/>
            <w:calcOnExit w:val="0"/>
            <w:checkBox>
              <w:sizeAuto/>
              <w:default w:val="0"/>
            </w:checkBox>
          </w:ffData>
        </w:fldChar>
      </w:r>
      <w:bookmarkStart w:id="21" w:name="CaseACocher18"/>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bookmarkEnd w:id="21"/>
      <w:r>
        <w:rPr>
          <w:rFonts w:ascii="Calibri" w:hAnsi="Calibri" w:cs="Arial"/>
          <w:sz w:val="22"/>
          <w:szCs w:val="22"/>
        </w:rPr>
        <w:tab/>
        <w:t xml:space="preserve">Une attestation d'orientation B n'admettant qu'à </w:t>
      </w:r>
      <w:r>
        <w:rPr>
          <w:rFonts w:ascii="Calibri" w:hAnsi="Calibri" w:cs="Arial"/>
          <w:sz w:val="22"/>
          <w:szCs w:val="22"/>
        </w:rPr>
        <w:tab/>
      </w:r>
    </w:p>
    <w:p>
      <w:pPr>
        <w:tabs>
          <w:tab w:val="right" w:leader="dot" w:pos="10080"/>
        </w:tabs>
        <w:autoSpaceDE w:val="0"/>
        <w:autoSpaceDN w:val="0"/>
        <w:adjustRightInd w:val="0"/>
        <w:ind w:left="72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spacing w:before="60"/>
        <w:rPr>
          <w:rFonts w:ascii="Calibri" w:hAnsi="Calibri" w:cs="Arial"/>
          <w:sz w:val="22"/>
          <w:szCs w:val="22"/>
        </w:rPr>
      </w:pPr>
      <w:r>
        <w:rPr>
          <w:rFonts w:ascii="Calibri" w:hAnsi="Calibri" w:cs="Arial"/>
          <w:sz w:val="22"/>
          <w:szCs w:val="22"/>
        </w:rPr>
        <w:t xml:space="preserve">       </w:t>
      </w:r>
      <w:r>
        <w:rPr>
          <w:rFonts w:ascii="Calibri" w:hAnsi="Calibri" w:cs="Arial"/>
          <w:sz w:val="22"/>
          <w:szCs w:val="22"/>
        </w:rPr>
        <w:fldChar w:fldCharType="begin">
          <w:ffData>
            <w:name w:val="CaseACocher13"/>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Le Certificat de qualification</w:t>
      </w:r>
    </w:p>
    <w:p>
      <w:pPr>
        <w:tabs>
          <w:tab w:val="left" w:pos="720"/>
          <w:tab w:val="right" w:leader="dot" w:pos="10080"/>
        </w:tabs>
        <w:autoSpaceDE w:val="0"/>
        <w:autoSpaceDN w:val="0"/>
        <w:adjustRightInd w:val="0"/>
        <w:ind w:left="360"/>
        <w:jc w:val="both"/>
        <w:rPr>
          <w:rFonts w:ascii="Calibri" w:hAnsi="Calibri" w:cs="Arial"/>
          <w:sz w:val="22"/>
          <w:szCs w:val="22"/>
        </w:rPr>
      </w:pPr>
    </w:p>
    <w:p>
      <w:pPr>
        <w:tabs>
          <w:tab w:val="left" w:pos="720"/>
          <w:tab w:val="right" w:leader="dot" w:pos="10080"/>
        </w:tabs>
        <w:autoSpaceDE w:val="0"/>
        <w:autoSpaceDN w:val="0"/>
        <w:adjustRightInd w:val="0"/>
        <w:ind w:left="360"/>
        <w:jc w:val="both"/>
        <w:rPr>
          <w:rFonts w:ascii="Calibri" w:hAnsi="Calibri" w:cs="Arial"/>
          <w:sz w:val="22"/>
          <w:szCs w:val="22"/>
        </w:rPr>
      </w:pPr>
      <w:r>
        <w:rPr>
          <w:rFonts w:ascii="Calibri" w:hAnsi="Calibri" w:cs="Arial"/>
          <w:sz w:val="22"/>
          <w:szCs w:val="22"/>
        </w:rPr>
        <w:fldChar w:fldCharType="begin">
          <w:ffData>
            <w:name w:val="CaseACocher17"/>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ab/>
        <w:t xml:space="preserve">Autre : </w:t>
      </w:r>
      <w:r>
        <w:rPr>
          <w:rFonts w:ascii="Calibri" w:hAnsi="Calibri" w:cs="Arial"/>
          <w:sz w:val="22"/>
          <w:szCs w:val="22"/>
        </w:rPr>
        <w:tab/>
      </w:r>
    </w:p>
    <w:p>
      <w:pPr>
        <w:tabs>
          <w:tab w:val="right" w:leader="dot" w:pos="9000"/>
        </w:tabs>
        <w:autoSpaceDE w:val="0"/>
        <w:autoSpaceDN w:val="0"/>
        <w:adjustRightInd w:val="0"/>
        <w:rPr>
          <w:rFonts w:ascii="Calibri" w:hAnsi="Calibri" w:cs="Arial"/>
          <w:sz w:val="22"/>
          <w:szCs w:val="22"/>
        </w:rPr>
      </w:pPr>
    </w:p>
    <w:p>
      <w:pPr>
        <w:tabs>
          <w:tab w:val="right" w:leader="dot" w:pos="4680"/>
          <w:tab w:val="right" w:leader="dot" w:pos="9000"/>
        </w:tabs>
        <w:autoSpaceDE w:val="0"/>
        <w:autoSpaceDN w:val="0"/>
        <w:adjustRightInd w:val="0"/>
        <w:rPr>
          <w:rFonts w:ascii="Calibri" w:hAnsi="Calibri" w:cs="Arial"/>
          <w:sz w:val="22"/>
          <w:szCs w:val="22"/>
        </w:rPr>
      </w:pPr>
    </w:p>
    <w:p>
      <w:pPr>
        <w:tabs>
          <w:tab w:val="right" w:leader="dot" w:pos="4680"/>
          <w:tab w:val="right" w:leader="dot" w:pos="10080"/>
        </w:tabs>
        <w:autoSpaceDE w:val="0"/>
        <w:autoSpaceDN w:val="0"/>
        <w:adjustRightInd w:val="0"/>
        <w:rPr>
          <w:rFonts w:ascii="Calibri" w:hAnsi="Calibri" w:cs="Arial"/>
          <w:sz w:val="22"/>
          <w:szCs w:val="22"/>
        </w:rPr>
      </w:pPr>
      <w:r>
        <w:rPr>
          <w:rFonts w:ascii="Calibri" w:hAnsi="Calibri" w:cs="Arial"/>
          <w:sz w:val="22"/>
          <w:szCs w:val="22"/>
        </w:rPr>
        <w:t>Date :</w:t>
      </w:r>
      <w:r>
        <w:rPr>
          <w:rFonts w:ascii="Calibri" w:hAnsi="Calibri" w:cs="Arial"/>
          <w:sz w:val="22"/>
          <w:szCs w:val="22"/>
        </w:rPr>
        <w:tab/>
        <w:t xml:space="preserve"> Lieu</w:t>
      </w:r>
      <w:r>
        <w:rPr>
          <w:rFonts w:ascii="Calibri" w:hAnsi="Calibri" w:cs="Arial"/>
          <w:sz w:val="22"/>
          <w:szCs w:val="22"/>
        </w:rPr>
        <w:tab/>
      </w:r>
    </w:p>
    <w:p>
      <w:pPr>
        <w:autoSpaceDE w:val="0"/>
        <w:autoSpaceDN w:val="0"/>
        <w:adjustRightInd w:val="0"/>
        <w:rPr>
          <w:rFonts w:ascii="Calibri" w:hAnsi="Calibri" w:cs="Arial"/>
          <w:sz w:val="22"/>
          <w:szCs w:val="22"/>
        </w:rPr>
      </w:pPr>
    </w:p>
    <w:p>
      <w:pPr>
        <w:autoSpaceDE w:val="0"/>
        <w:autoSpaceDN w:val="0"/>
        <w:adjustRightInd w:val="0"/>
        <w:jc w:val="center"/>
        <w:rPr>
          <w:rFonts w:ascii="Calibri" w:hAnsi="Calibri"/>
          <w:sz w:val="22"/>
          <w:szCs w:val="22"/>
        </w:rPr>
      </w:pPr>
      <w:r>
        <w:rPr>
          <w:rFonts w:ascii="Calibri" w:hAnsi="Calibri" w:cs="Arial"/>
          <w:sz w:val="22"/>
          <w:szCs w:val="22"/>
        </w:rPr>
        <w:t>Signature du Chef d'établissement</w:t>
      </w:r>
      <w:r>
        <w:rPr>
          <w:rFonts w:ascii="Calibri" w:hAnsi="Calibri"/>
          <w:sz w:val="22"/>
          <w:szCs w:val="22"/>
        </w:rPr>
        <w:br w:type="page"/>
      </w:r>
    </w:p>
    <w:p>
      <w:pPr>
        <w:autoSpaceDE w:val="0"/>
        <w:autoSpaceDN w:val="0"/>
        <w:adjustRightInd w:val="0"/>
        <w:rPr>
          <w:rFonts w:ascii="Calibri" w:hAnsi="Calibri"/>
          <w:b/>
          <w:sz w:val="22"/>
          <w:szCs w:val="22"/>
          <w:u w:val="single"/>
        </w:rPr>
      </w:pPr>
      <w:r>
        <w:rPr>
          <w:rFonts w:ascii="Calibri" w:hAnsi="Calibri"/>
          <w:b/>
          <w:sz w:val="22"/>
          <w:szCs w:val="22"/>
          <w:u w:val="single"/>
        </w:rPr>
        <w:t>Annexe 2</w:t>
      </w:r>
    </w:p>
    <w:p>
      <w:pPr>
        <w:autoSpaceDE w:val="0"/>
        <w:autoSpaceDN w:val="0"/>
        <w:adjustRightInd w:val="0"/>
        <w:rPr>
          <w:rFonts w:ascii="Calibri" w:hAnsi="Calibri"/>
          <w:sz w:val="22"/>
          <w:szCs w:val="22"/>
        </w:rPr>
      </w:pPr>
    </w:p>
    <w:p>
      <w:pPr>
        <w:autoSpaceDE w:val="0"/>
        <w:autoSpaceDN w:val="0"/>
        <w:adjustRightInd w:val="0"/>
        <w:jc w:val="center"/>
        <w:rPr>
          <w:rFonts w:ascii="Calibri" w:hAnsi="Calibri" w:cs="Arial"/>
          <w:b/>
          <w:bCs/>
          <w:sz w:val="28"/>
          <w:szCs w:val="28"/>
        </w:rPr>
      </w:pPr>
      <w:r>
        <w:rPr>
          <w:rFonts w:ascii="Calibri" w:hAnsi="Calibri" w:cs="Arial"/>
          <w:b/>
          <w:bCs/>
          <w:sz w:val="28"/>
          <w:szCs w:val="28"/>
        </w:rPr>
        <w:t>PROCEDURE DE RECOURS EXTERNE AUPRES DU CONSEIL DE RECOURS CONTRE LES DECISIONS DU CONSEIL DE CLASSE (Volet 2)</w:t>
      </w:r>
    </w:p>
    <w:p>
      <w:pPr>
        <w:autoSpaceDE w:val="0"/>
        <w:autoSpaceDN w:val="0"/>
        <w:adjustRightInd w:val="0"/>
        <w:jc w:val="both"/>
        <w:rPr>
          <w:rFonts w:ascii="Calibri" w:hAnsi="Calibri" w:cs="Arial"/>
          <w:b/>
          <w:bCs/>
          <w:sz w:val="28"/>
          <w:szCs w:val="28"/>
        </w:rPr>
      </w:pPr>
    </w:p>
    <w:p>
      <w:pPr>
        <w:autoSpaceDE w:val="0"/>
        <w:autoSpaceDN w:val="0"/>
        <w:adjustRightInd w:val="0"/>
        <w:rPr>
          <w:rFonts w:ascii="Calibri" w:hAnsi="Calibri" w:cs="Arial"/>
          <w:b/>
          <w:sz w:val="22"/>
          <w:szCs w:val="22"/>
        </w:rPr>
      </w:pPr>
      <w:r>
        <w:rPr>
          <w:rFonts w:ascii="Calibri" w:hAnsi="Calibri" w:cs="Arial"/>
          <w:b/>
          <w:sz w:val="22"/>
          <w:szCs w:val="22"/>
        </w:rPr>
        <w:t>Je soussigné(e)</w:t>
      </w:r>
    </w:p>
    <w:p>
      <w:pPr>
        <w:autoSpaceDE w:val="0"/>
        <w:autoSpaceDN w:val="0"/>
        <w:adjustRightInd w:val="0"/>
        <w:jc w:val="center"/>
        <w:rPr>
          <w:rFonts w:ascii="Calibri" w:hAnsi="Calibri" w:cs="Arial"/>
          <w:b/>
          <w:sz w:val="22"/>
          <w:szCs w:val="22"/>
        </w:rPr>
      </w:pPr>
    </w:p>
    <w:p>
      <w:pPr>
        <w:autoSpaceDE w:val="0"/>
        <w:autoSpaceDN w:val="0"/>
        <w:adjustRightInd w:val="0"/>
        <w:rPr>
          <w:rFonts w:ascii="Calibri" w:hAnsi="Calibri" w:cs="Arial"/>
          <w:sz w:val="22"/>
          <w:szCs w:val="22"/>
        </w:rPr>
      </w:pPr>
      <w:r>
        <w:rPr>
          <w:rFonts w:ascii="Calibri" w:hAnsi="Calibri" w:cs="Arial"/>
          <w:sz w:val="22"/>
          <w:szCs w:val="22"/>
        </w:rPr>
        <w:fldChar w:fldCharType="begin">
          <w:ffData>
            <w:name w:val="CaseACocher1"/>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Père, mère ou représentants légaux d'un élève mineur</w:t>
      </w:r>
    </w:p>
    <w:p>
      <w:pPr>
        <w:autoSpaceDE w:val="0"/>
        <w:autoSpaceDN w:val="0"/>
        <w:adjustRightInd w:val="0"/>
        <w:rPr>
          <w:rFonts w:ascii="Calibri" w:hAnsi="Calibri" w:cs="Arial"/>
          <w:sz w:val="22"/>
          <w:szCs w:val="22"/>
        </w:rPr>
      </w:pPr>
      <w:r>
        <w:rPr>
          <w:rFonts w:ascii="Calibri" w:hAnsi="Calibri" w:cs="Arial"/>
          <w:sz w:val="22"/>
          <w:szCs w:val="22"/>
        </w:rPr>
        <w:fldChar w:fldCharType="begin">
          <w:ffData>
            <w:name w:val="CaseACocher2"/>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Elève majeur</w:t>
      </w:r>
    </w:p>
    <w:p>
      <w:pPr>
        <w:tabs>
          <w:tab w:val="right" w:leader="dot" w:pos="10080"/>
        </w:tabs>
        <w:autoSpaceDE w:val="0"/>
        <w:autoSpaceDN w:val="0"/>
        <w:adjustRightInd w:val="0"/>
        <w:spacing w:before="120"/>
        <w:rPr>
          <w:rFonts w:ascii="Calibri" w:hAnsi="Calibri" w:cs="Arial"/>
          <w:sz w:val="22"/>
          <w:szCs w:val="22"/>
        </w:rPr>
      </w:pPr>
      <w:r>
        <w:rPr>
          <w:rFonts w:ascii="Calibri" w:hAnsi="Calibri" w:cs="Arial"/>
          <w:sz w:val="22"/>
          <w:szCs w:val="22"/>
        </w:rPr>
        <w:t xml:space="preserve">NOM : </w:t>
      </w:r>
      <w:r>
        <w:rPr>
          <w:rFonts w:ascii="Calibri" w:hAnsi="Calibri" w:cs="Arial"/>
          <w:sz w:val="22"/>
          <w:szCs w:val="22"/>
        </w:rPr>
        <w:tab/>
      </w:r>
    </w:p>
    <w:p>
      <w:pPr>
        <w:tabs>
          <w:tab w:val="right" w:leader="dot" w:pos="10080"/>
        </w:tabs>
        <w:autoSpaceDE w:val="0"/>
        <w:autoSpaceDN w:val="0"/>
        <w:adjustRightInd w:val="0"/>
        <w:spacing w:before="120"/>
        <w:rPr>
          <w:rFonts w:ascii="Calibri" w:hAnsi="Calibri" w:cs="Arial"/>
          <w:sz w:val="22"/>
          <w:szCs w:val="22"/>
        </w:rPr>
      </w:pPr>
      <w:r>
        <w:rPr>
          <w:rFonts w:ascii="Calibri" w:hAnsi="Calibri" w:cs="Arial"/>
          <w:sz w:val="22"/>
          <w:szCs w:val="22"/>
        </w:rPr>
        <w:t>PRENOM :</w:t>
      </w:r>
      <w:r>
        <w:rPr>
          <w:rFonts w:ascii="Calibri" w:hAnsi="Calibri" w:cs="Arial"/>
          <w:sz w:val="22"/>
          <w:szCs w:val="22"/>
        </w:rPr>
        <w:tab/>
      </w:r>
    </w:p>
    <w:p>
      <w:pPr>
        <w:tabs>
          <w:tab w:val="right" w:leader="dot" w:pos="10080"/>
        </w:tabs>
        <w:autoSpaceDE w:val="0"/>
        <w:autoSpaceDN w:val="0"/>
        <w:adjustRightInd w:val="0"/>
        <w:spacing w:before="120"/>
        <w:rPr>
          <w:rFonts w:ascii="Calibri" w:hAnsi="Calibri" w:cs="Arial"/>
          <w:sz w:val="22"/>
          <w:szCs w:val="22"/>
        </w:rPr>
      </w:pPr>
      <w:r>
        <w:rPr>
          <w:rFonts w:ascii="Calibri" w:hAnsi="Calibri" w:cs="Arial"/>
          <w:sz w:val="22"/>
          <w:szCs w:val="22"/>
        </w:rPr>
        <w:t xml:space="preserve">DATE DE NAISSANCE : </w:t>
      </w:r>
      <w:r>
        <w:rPr>
          <w:rFonts w:ascii="Calibri" w:hAnsi="Calibri" w:cs="Arial"/>
          <w:sz w:val="22"/>
          <w:szCs w:val="22"/>
        </w:rPr>
        <w:tab/>
      </w:r>
    </w:p>
    <w:p>
      <w:pPr>
        <w:tabs>
          <w:tab w:val="right" w:leader="dot" w:pos="10080"/>
        </w:tabs>
        <w:autoSpaceDE w:val="0"/>
        <w:autoSpaceDN w:val="0"/>
        <w:adjustRightInd w:val="0"/>
        <w:spacing w:before="120"/>
        <w:rPr>
          <w:rFonts w:ascii="Calibri" w:hAnsi="Calibri" w:cs="Arial"/>
          <w:sz w:val="22"/>
          <w:szCs w:val="22"/>
        </w:rPr>
      </w:pPr>
      <w:r>
        <w:rPr>
          <w:rFonts w:ascii="Calibri" w:hAnsi="Calibri" w:cs="Arial"/>
          <w:sz w:val="22"/>
          <w:szCs w:val="22"/>
        </w:rPr>
        <w:t xml:space="preserve">ADRESSE (Rue, n°, code postal, localité) : </w:t>
      </w:r>
      <w:r>
        <w:rPr>
          <w:rFonts w:ascii="Calibri" w:hAnsi="Calibri" w:cs="Arial"/>
          <w:sz w:val="22"/>
          <w:szCs w:val="22"/>
        </w:rPr>
        <w:tab/>
      </w:r>
    </w:p>
    <w:p>
      <w:pPr>
        <w:tabs>
          <w:tab w:val="right" w:leader="dot" w:pos="10080"/>
        </w:tabs>
        <w:autoSpaceDE w:val="0"/>
        <w:autoSpaceDN w:val="0"/>
        <w:adjustRightInd w:val="0"/>
        <w:spacing w:before="120"/>
        <w:rPr>
          <w:rFonts w:ascii="Calibri" w:hAnsi="Calibri" w:cs="Arial"/>
          <w:sz w:val="22"/>
          <w:szCs w:val="22"/>
        </w:rPr>
      </w:pPr>
      <w:r>
        <w:rPr>
          <w:rFonts w:ascii="Calibri" w:hAnsi="Calibri" w:cs="Arial"/>
          <w:sz w:val="22"/>
          <w:szCs w:val="22"/>
        </w:rPr>
        <w:t xml:space="preserve">TELEPHONE : </w:t>
      </w:r>
      <w:r>
        <w:rPr>
          <w:rFonts w:ascii="Calibri" w:hAnsi="Calibri" w:cs="Arial"/>
          <w:sz w:val="22"/>
          <w:szCs w:val="22"/>
        </w:rPr>
        <w:tab/>
      </w:r>
    </w:p>
    <w:p>
      <w:pPr>
        <w:tabs>
          <w:tab w:val="right" w:leader="dot" w:pos="10080"/>
        </w:tabs>
        <w:autoSpaceDE w:val="0"/>
        <w:autoSpaceDN w:val="0"/>
        <w:adjustRightInd w:val="0"/>
        <w:spacing w:before="120"/>
        <w:rPr>
          <w:rFonts w:ascii="Calibri" w:hAnsi="Calibri" w:cs="Arial"/>
          <w:sz w:val="22"/>
          <w:szCs w:val="22"/>
        </w:rPr>
      </w:pPr>
      <w:r>
        <w:rPr>
          <w:rFonts w:ascii="Calibri" w:hAnsi="Calibri" w:cs="Arial"/>
          <w:sz w:val="22"/>
          <w:szCs w:val="22"/>
        </w:rPr>
        <w:t xml:space="preserve">ADRESSE MAIL : </w:t>
      </w:r>
      <w:r>
        <w:rPr>
          <w:rFonts w:ascii="Calibri" w:hAnsi="Calibri" w:cs="Arial"/>
          <w:sz w:val="22"/>
          <w:szCs w:val="22"/>
        </w:rPr>
        <w:tab/>
      </w:r>
    </w:p>
    <w:p>
      <w:pPr>
        <w:autoSpaceDE w:val="0"/>
        <w:autoSpaceDN w:val="0"/>
        <w:adjustRightInd w:val="0"/>
        <w:rPr>
          <w:rFonts w:ascii="Calibri" w:hAnsi="Calibri" w:cs="Arial"/>
          <w:sz w:val="22"/>
          <w:szCs w:val="22"/>
        </w:rPr>
      </w:pPr>
    </w:p>
    <w:p>
      <w:pPr>
        <w:autoSpaceDE w:val="0"/>
        <w:autoSpaceDN w:val="0"/>
        <w:adjustRightInd w:val="0"/>
        <w:jc w:val="both"/>
        <w:rPr>
          <w:rFonts w:ascii="Calibri" w:hAnsi="Calibri" w:cs="Arial"/>
          <w:b/>
          <w:sz w:val="22"/>
          <w:szCs w:val="22"/>
        </w:rPr>
      </w:pPr>
      <w:r>
        <w:rPr>
          <w:rFonts w:ascii="Calibri" w:hAnsi="Calibri" w:cs="Arial"/>
          <w:b/>
          <w:sz w:val="22"/>
          <w:szCs w:val="22"/>
        </w:rPr>
        <w:t xml:space="preserve">Souhaite introduire par la présente un recours contre la décision d'un Conseil de classe prise à l'égard de l'élève mineur (rubrique à compléter uniquement si élève mineur): </w:t>
      </w:r>
    </w:p>
    <w:p>
      <w:pPr>
        <w:tabs>
          <w:tab w:val="right" w:leader="dot" w:pos="10080"/>
        </w:tabs>
        <w:autoSpaceDE w:val="0"/>
        <w:autoSpaceDN w:val="0"/>
        <w:adjustRightInd w:val="0"/>
        <w:spacing w:before="120"/>
        <w:rPr>
          <w:rFonts w:ascii="Calibri" w:hAnsi="Calibri" w:cs="Arial"/>
          <w:sz w:val="22"/>
          <w:szCs w:val="22"/>
        </w:rPr>
      </w:pPr>
      <w:r>
        <w:rPr>
          <w:rFonts w:ascii="Calibri" w:hAnsi="Calibri" w:cs="Arial"/>
          <w:sz w:val="22"/>
          <w:szCs w:val="22"/>
        </w:rPr>
        <w:t xml:space="preserve">NOM : </w:t>
      </w:r>
      <w:r>
        <w:rPr>
          <w:rFonts w:ascii="Calibri" w:hAnsi="Calibri" w:cs="Arial"/>
          <w:sz w:val="22"/>
          <w:szCs w:val="22"/>
        </w:rPr>
        <w:tab/>
      </w:r>
    </w:p>
    <w:p>
      <w:pPr>
        <w:tabs>
          <w:tab w:val="right" w:leader="dot" w:pos="10080"/>
        </w:tabs>
        <w:autoSpaceDE w:val="0"/>
        <w:autoSpaceDN w:val="0"/>
        <w:adjustRightInd w:val="0"/>
        <w:spacing w:before="120"/>
        <w:rPr>
          <w:rFonts w:ascii="Calibri" w:hAnsi="Calibri" w:cs="Arial"/>
          <w:sz w:val="22"/>
          <w:szCs w:val="22"/>
        </w:rPr>
      </w:pPr>
      <w:r>
        <w:rPr>
          <w:rFonts w:ascii="Calibri" w:hAnsi="Calibri" w:cs="Arial"/>
          <w:sz w:val="22"/>
          <w:szCs w:val="22"/>
        </w:rPr>
        <w:t>PRENOM :</w:t>
      </w:r>
      <w:r>
        <w:rPr>
          <w:rFonts w:ascii="Calibri" w:hAnsi="Calibri" w:cs="Arial"/>
          <w:sz w:val="22"/>
          <w:szCs w:val="22"/>
        </w:rPr>
        <w:tab/>
      </w:r>
    </w:p>
    <w:p>
      <w:pPr>
        <w:tabs>
          <w:tab w:val="right" w:leader="dot" w:pos="10080"/>
        </w:tabs>
        <w:autoSpaceDE w:val="0"/>
        <w:autoSpaceDN w:val="0"/>
        <w:adjustRightInd w:val="0"/>
        <w:spacing w:before="120"/>
        <w:rPr>
          <w:rFonts w:ascii="Calibri" w:hAnsi="Calibri" w:cs="Arial"/>
          <w:sz w:val="22"/>
          <w:szCs w:val="22"/>
        </w:rPr>
      </w:pPr>
      <w:r>
        <w:rPr>
          <w:rFonts w:ascii="Calibri" w:hAnsi="Calibri" w:cs="Arial"/>
          <w:sz w:val="22"/>
          <w:szCs w:val="22"/>
        </w:rPr>
        <w:t xml:space="preserve">DATE DE NAISSANCE : </w:t>
      </w:r>
      <w:r>
        <w:rPr>
          <w:rFonts w:ascii="Calibri" w:hAnsi="Calibri" w:cs="Arial"/>
          <w:sz w:val="22"/>
          <w:szCs w:val="22"/>
        </w:rPr>
        <w:tab/>
      </w:r>
    </w:p>
    <w:p>
      <w:pPr>
        <w:tabs>
          <w:tab w:val="right" w:leader="dot" w:pos="10080"/>
        </w:tabs>
        <w:autoSpaceDE w:val="0"/>
        <w:autoSpaceDN w:val="0"/>
        <w:adjustRightInd w:val="0"/>
        <w:spacing w:before="120"/>
        <w:rPr>
          <w:rFonts w:ascii="Calibri" w:hAnsi="Calibri" w:cs="Arial"/>
          <w:sz w:val="22"/>
          <w:szCs w:val="22"/>
        </w:rPr>
      </w:pPr>
      <w:r>
        <w:rPr>
          <w:rFonts w:ascii="Calibri" w:hAnsi="Calibri" w:cs="Arial"/>
          <w:sz w:val="22"/>
          <w:szCs w:val="22"/>
        </w:rPr>
        <w:t xml:space="preserve">ADRESSE (Rue, n°, code postal, localité) : </w:t>
      </w:r>
      <w:r>
        <w:rPr>
          <w:rFonts w:ascii="Calibri" w:hAnsi="Calibri" w:cs="Arial"/>
          <w:sz w:val="22"/>
          <w:szCs w:val="22"/>
        </w:rPr>
        <w:tab/>
      </w:r>
    </w:p>
    <w:p>
      <w:pPr>
        <w:tabs>
          <w:tab w:val="right" w:leader="dot" w:pos="10080"/>
        </w:tabs>
        <w:autoSpaceDE w:val="0"/>
        <w:autoSpaceDN w:val="0"/>
        <w:adjustRightInd w:val="0"/>
        <w:spacing w:before="120"/>
        <w:rPr>
          <w:rFonts w:ascii="Calibri" w:hAnsi="Calibri" w:cs="Arial"/>
          <w:sz w:val="22"/>
          <w:szCs w:val="22"/>
        </w:rPr>
      </w:pPr>
      <w:r>
        <w:rPr>
          <w:rFonts w:ascii="Calibri" w:hAnsi="Calibri" w:cs="Arial"/>
          <w:sz w:val="22"/>
          <w:szCs w:val="22"/>
        </w:rPr>
        <w:t xml:space="preserve">TELEPHONE : </w:t>
      </w:r>
      <w:r>
        <w:rPr>
          <w:rFonts w:ascii="Calibri" w:hAnsi="Calibri" w:cs="Arial"/>
          <w:sz w:val="22"/>
          <w:szCs w:val="22"/>
        </w:rPr>
        <w:tab/>
      </w:r>
    </w:p>
    <w:p>
      <w:pPr>
        <w:tabs>
          <w:tab w:val="right" w:leader="dot" w:pos="10080"/>
        </w:tabs>
        <w:autoSpaceDE w:val="0"/>
        <w:autoSpaceDN w:val="0"/>
        <w:adjustRightInd w:val="0"/>
        <w:spacing w:before="120"/>
        <w:rPr>
          <w:rFonts w:ascii="Calibri" w:hAnsi="Calibri" w:cs="Arial"/>
          <w:sz w:val="22"/>
          <w:szCs w:val="22"/>
        </w:rPr>
      </w:pPr>
      <w:r>
        <w:rPr>
          <w:rFonts w:ascii="Calibri" w:hAnsi="Calibri" w:cs="Arial"/>
          <w:sz w:val="22"/>
          <w:szCs w:val="22"/>
        </w:rPr>
        <w:t xml:space="preserve">ADRESSE MAIL : </w:t>
      </w:r>
      <w:r>
        <w:rPr>
          <w:rFonts w:ascii="Calibri" w:hAnsi="Calibri" w:cs="Arial"/>
          <w:sz w:val="22"/>
          <w:szCs w:val="22"/>
        </w:rPr>
        <w:tab/>
      </w:r>
    </w:p>
    <w:p>
      <w:pPr>
        <w:autoSpaceDE w:val="0"/>
        <w:autoSpaceDN w:val="0"/>
        <w:adjustRightInd w:val="0"/>
        <w:rPr>
          <w:rFonts w:ascii="Calibri" w:hAnsi="Calibri" w:cs="Arial"/>
          <w:sz w:val="22"/>
          <w:szCs w:val="22"/>
        </w:rPr>
      </w:pPr>
    </w:p>
    <w:p>
      <w:pPr>
        <w:autoSpaceDE w:val="0"/>
        <w:autoSpaceDN w:val="0"/>
        <w:adjustRightInd w:val="0"/>
        <w:rPr>
          <w:rFonts w:ascii="Calibri" w:hAnsi="Calibri" w:cs="Arial"/>
          <w:b/>
          <w:sz w:val="22"/>
          <w:szCs w:val="22"/>
        </w:rPr>
      </w:pPr>
      <w:r>
        <w:rPr>
          <w:rFonts w:ascii="Calibri" w:hAnsi="Calibri" w:cs="Arial"/>
          <w:b/>
          <w:sz w:val="22"/>
          <w:szCs w:val="22"/>
        </w:rPr>
        <w:t>ETABLISSEMENT SCOLAIRE</w:t>
      </w:r>
    </w:p>
    <w:p>
      <w:pPr>
        <w:tabs>
          <w:tab w:val="right" w:leader="dot" w:pos="10080"/>
        </w:tabs>
        <w:autoSpaceDE w:val="0"/>
        <w:autoSpaceDN w:val="0"/>
        <w:adjustRightInd w:val="0"/>
        <w:spacing w:before="120"/>
        <w:rPr>
          <w:rFonts w:ascii="Calibri" w:hAnsi="Calibri" w:cs="Arial"/>
          <w:sz w:val="22"/>
          <w:szCs w:val="22"/>
        </w:rPr>
      </w:pPr>
      <w:r>
        <w:rPr>
          <w:rFonts w:ascii="Calibri" w:hAnsi="Calibri" w:cs="Arial"/>
          <w:sz w:val="22"/>
          <w:szCs w:val="22"/>
        </w:rPr>
        <w:t xml:space="preserve">NOM ETABLISSEMENT SCOLAIRE : </w:t>
      </w:r>
      <w:r>
        <w:rPr>
          <w:rFonts w:ascii="Calibri" w:hAnsi="Calibri" w:cs="Arial"/>
          <w:sz w:val="22"/>
          <w:szCs w:val="22"/>
        </w:rPr>
        <w:tab/>
      </w:r>
    </w:p>
    <w:p>
      <w:pPr>
        <w:tabs>
          <w:tab w:val="right" w:leader="dot" w:pos="10080"/>
        </w:tabs>
        <w:autoSpaceDE w:val="0"/>
        <w:autoSpaceDN w:val="0"/>
        <w:adjustRightInd w:val="0"/>
        <w:spacing w:before="120"/>
        <w:rPr>
          <w:rFonts w:ascii="Calibri" w:hAnsi="Calibri" w:cs="Arial"/>
          <w:sz w:val="22"/>
          <w:szCs w:val="22"/>
        </w:rPr>
      </w:pPr>
      <w:r>
        <w:rPr>
          <w:rFonts w:ascii="Calibri" w:hAnsi="Calibri" w:cs="Arial"/>
          <w:sz w:val="22"/>
          <w:szCs w:val="22"/>
        </w:rPr>
        <w:t xml:space="preserve">ADRESSE ETABLISSEMENT SCOLAIRE (Rue, n°, code postal, localité) : </w:t>
      </w:r>
      <w:r>
        <w:rPr>
          <w:rFonts w:ascii="Calibri" w:hAnsi="Calibri" w:cs="Arial"/>
          <w:sz w:val="22"/>
          <w:szCs w:val="22"/>
        </w:rPr>
        <w:tab/>
      </w:r>
    </w:p>
    <w:p>
      <w:pPr>
        <w:tabs>
          <w:tab w:val="right" w:leader="dot" w:pos="10080"/>
        </w:tabs>
        <w:autoSpaceDE w:val="0"/>
        <w:autoSpaceDN w:val="0"/>
        <w:adjustRightInd w:val="0"/>
        <w:spacing w:before="120"/>
        <w:rPr>
          <w:rFonts w:ascii="Calibri" w:hAnsi="Calibri" w:cs="Arial"/>
          <w:sz w:val="22"/>
          <w:szCs w:val="22"/>
        </w:rPr>
      </w:pPr>
      <w:r>
        <w:rPr>
          <w:rFonts w:ascii="Calibri" w:hAnsi="Calibri" w:cs="Arial"/>
          <w:sz w:val="22"/>
          <w:szCs w:val="22"/>
        </w:rPr>
        <w:t xml:space="preserve">TELEPHONE : </w:t>
      </w:r>
      <w:r>
        <w:rPr>
          <w:rFonts w:ascii="Calibri" w:hAnsi="Calibri" w:cs="Arial"/>
          <w:sz w:val="22"/>
          <w:szCs w:val="22"/>
        </w:rPr>
        <w:tab/>
      </w:r>
    </w:p>
    <w:p>
      <w:pPr>
        <w:tabs>
          <w:tab w:val="right" w:leader="dot" w:pos="10080"/>
        </w:tabs>
        <w:autoSpaceDE w:val="0"/>
        <w:autoSpaceDN w:val="0"/>
        <w:adjustRightInd w:val="0"/>
        <w:spacing w:before="120"/>
        <w:rPr>
          <w:rFonts w:ascii="Calibri" w:hAnsi="Calibri" w:cs="Arial"/>
          <w:sz w:val="22"/>
          <w:szCs w:val="22"/>
        </w:rPr>
      </w:pPr>
      <w:r>
        <w:rPr>
          <w:rFonts w:ascii="Calibri" w:hAnsi="Calibri" w:cs="Arial"/>
          <w:sz w:val="22"/>
          <w:szCs w:val="22"/>
        </w:rPr>
        <w:t xml:space="preserve">ADRESSE MAIL : </w:t>
      </w:r>
      <w:r>
        <w:rPr>
          <w:rFonts w:ascii="Calibri" w:hAnsi="Calibri" w:cs="Arial"/>
          <w:sz w:val="22"/>
          <w:szCs w:val="22"/>
        </w:rPr>
        <w:tab/>
      </w:r>
    </w:p>
    <w:p>
      <w:pPr>
        <w:tabs>
          <w:tab w:val="right" w:leader="dot" w:pos="9000"/>
        </w:tabs>
        <w:autoSpaceDE w:val="0"/>
        <w:autoSpaceDN w:val="0"/>
        <w:adjustRightInd w:val="0"/>
        <w:spacing w:before="120"/>
        <w:rPr>
          <w:rFonts w:ascii="Calibri" w:hAnsi="Calibri" w:cs="Arial"/>
          <w:sz w:val="22"/>
          <w:szCs w:val="22"/>
        </w:rPr>
      </w:pPr>
      <w:r>
        <w:rPr>
          <w:rFonts w:ascii="Calibri" w:hAnsi="Calibri" w:cs="Arial"/>
          <w:sz w:val="22"/>
          <w:szCs w:val="22"/>
        </w:rPr>
        <w:t>RESEAU D'ENSEIGNEMENT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1423"/>
        <w:gridCol w:w="485"/>
        <w:gridCol w:w="1772"/>
        <w:gridCol w:w="485"/>
        <w:gridCol w:w="1763"/>
        <w:gridCol w:w="547"/>
        <w:gridCol w:w="2100"/>
      </w:tblGrid>
      <w:tr>
        <w:tc>
          <w:tcPr>
            <w:tcW w:w="3532" w:type="pct"/>
            <w:gridSpan w:val="6"/>
            <w:shd w:val="clear" w:color="auto" w:fill="auto"/>
            <w:vAlign w:val="center"/>
          </w:tcPr>
          <w:p>
            <w:pPr>
              <w:tabs>
                <w:tab w:val="right" w:leader="dot" w:pos="9000"/>
              </w:tabs>
              <w:autoSpaceDE w:val="0"/>
              <w:autoSpaceDN w:val="0"/>
              <w:adjustRightInd w:val="0"/>
              <w:spacing w:before="120"/>
              <w:jc w:val="center"/>
              <w:rPr>
                <w:rFonts w:ascii="Calibri" w:hAnsi="Calibri" w:cs="Arial"/>
                <w:sz w:val="22"/>
                <w:szCs w:val="22"/>
              </w:rPr>
            </w:pPr>
            <w:r>
              <w:rPr>
                <w:rFonts w:ascii="Calibri" w:hAnsi="Calibri" w:cs="Arial"/>
                <w:sz w:val="22"/>
                <w:szCs w:val="22"/>
              </w:rPr>
              <w:t>NON-CONFESSIONNEL</w:t>
            </w:r>
          </w:p>
        </w:tc>
        <w:tc>
          <w:tcPr>
            <w:tcW w:w="1468" w:type="pct"/>
            <w:gridSpan w:val="2"/>
            <w:shd w:val="clear" w:color="auto" w:fill="auto"/>
            <w:vAlign w:val="center"/>
          </w:tcPr>
          <w:p>
            <w:pPr>
              <w:tabs>
                <w:tab w:val="right" w:leader="dot" w:pos="9000"/>
              </w:tabs>
              <w:autoSpaceDE w:val="0"/>
              <w:autoSpaceDN w:val="0"/>
              <w:adjustRightInd w:val="0"/>
              <w:spacing w:before="120"/>
              <w:jc w:val="center"/>
              <w:rPr>
                <w:rFonts w:ascii="Calibri" w:hAnsi="Calibri" w:cs="Arial"/>
                <w:sz w:val="22"/>
                <w:szCs w:val="22"/>
              </w:rPr>
            </w:pPr>
            <w:r>
              <w:rPr>
                <w:rFonts w:ascii="Calibri" w:hAnsi="Calibri" w:cs="Arial"/>
                <w:sz w:val="22"/>
                <w:szCs w:val="22"/>
              </w:rPr>
              <w:t>CONFESSIONNEL</w:t>
            </w:r>
          </w:p>
        </w:tc>
      </w:tr>
      <w:tr>
        <w:tc>
          <w:tcPr>
            <w:tcW w:w="261" w:type="pct"/>
            <w:shd w:val="clear" w:color="auto" w:fill="auto"/>
            <w:vAlign w:val="center"/>
          </w:tcPr>
          <w:p>
            <w:pPr>
              <w:tabs>
                <w:tab w:val="right" w:leader="dot" w:pos="9000"/>
              </w:tabs>
              <w:autoSpaceDE w:val="0"/>
              <w:autoSpaceDN w:val="0"/>
              <w:adjustRightInd w:val="0"/>
              <w:spacing w:before="120"/>
              <w:rPr>
                <w:rFonts w:ascii="Calibri" w:hAnsi="Calibri" w:cs="Arial"/>
                <w:sz w:val="22"/>
                <w:szCs w:val="22"/>
              </w:rPr>
            </w:pPr>
            <w:r>
              <w:rPr>
                <w:rFonts w:ascii="Calibri" w:hAnsi="Calibri" w:cs="Arial"/>
                <w:sz w:val="22"/>
                <w:szCs w:val="22"/>
              </w:rPr>
              <w:fldChar w:fldCharType="begin">
                <w:ffData>
                  <w:name w:val="CaseACocher9"/>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p>
        </w:tc>
        <w:tc>
          <w:tcPr>
            <w:tcW w:w="789" w:type="pct"/>
            <w:shd w:val="clear" w:color="auto" w:fill="auto"/>
            <w:vAlign w:val="center"/>
          </w:tcPr>
          <w:p>
            <w:pPr>
              <w:tabs>
                <w:tab w:val="right" w:leader="dot" w:pos="9000"/>
              </w:tabs>
              <w:autoSpaceDE w:val="0"/>
              <w:autoSpaceDN w:val="0"/>
              <w:adjustRightInd w:val="0"/>
              <w:spacing w:before="120"/>
              <w:rPr>
                <w:rFonts w:ascii="Calibri" w:hAnsi="Calibri" w:cs="Arial"/>
                <w:sz w:val="22"/>
                <w:szCs w:val="22"/>
              </w:rPr>
            </w:pPr>
            <w:r>
              <w:rPr>
                <w:rFonts w:ascii="Calibri" w:hAnsi="Calibri" w:cs="Arial"/>
                <w:sz w:val="22"/>
                <w:szCs w:val="22"/>
              </w:rPr>
              <w:t>RESEAU DE LA FEDERATION WALLONIE-BRUXELLES</w:t>
            </w:r>
          </w:p>
        </w:tc>
        <w:tc>
          <w:tcPr>
            <w:tcW w:w="262" w:type="pct"/>
            <w:shd w:val="clear" w:color="auto" w:fill="auto"/>
            <w:vAlign w:val="center"/>
          </w:tcPr>
          <w:p>
            <w:pPr>
              <w:tabs>
                <w:tab w:val="right" w:leader="dot" w:pos="9000"/>
              </w:tabs>
              <w:autoSpaceDE w:val="0"/>
              <w:autoSpaceDN w:val="0"/>
              <w:adjustRightInd w:val="0"/>
              <w:spacing w:before="120"/>
              <w:rPr>
                <w:rFonts w:ascii="Calibri" w:hAnsi="Calibri" w:cs="Arial"/>
                <w:sz w:val="22"/>
                <w:szCs w:val="22"/>
              </w:rPr>
            </w:pPr>
            <w:r>
              <w:rPr>
                <w:rFonts w:ascii="Calibri" w:hAnsi="Calibri" w:cs="Arial"/>
                <w:sz w:val="22"/>
                <w:szCs w:val="22"/>
              </w:rPr>
              <w:fldChar w:fldCharType="begin">
                <w:ffData>
                  <w:name w:val="CaseACocher10"/>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p>
        </w:tc>
        <w:tc>
          <w:tcPr>
            <w:tcW w:w="982" w:type="pct"/>
            <w:shd w:val="clear" w:color="auto" w:fill="auto"/>
            <w:vAlign w:val="center"/>
          </w:tcPr>
          <w:p>
            <w:pPr>
              <w:tabs>
                <w:tab w:val="right" w:leader="dot" w:pos="9000"/>
              </w:tabs>
              <w:autoSpaceDE w:val="0"/>
              <w:autoSpaceDN w:val="0"/>
              <w:adjustRightInd w:val="0"/>
              <w:spacing w:before="120"/>
              <w:rPr>
                <w:rFonts w:ascii="Calibri" w:hAnsi="Calibri" w:cs="Arial"/>
                <w:sz w:val="22"/>
                <w:szCs w:val="22"/>
              </w:rPr>
            </w:pPr>
            <w:r>
              <w:rPr>
                <w:rFonts w:ascii="Calibri" w:hAnsi="Calibri" w:cs="Arial"/>
                <w:sz w:val="22"/>
                <w:szCs w:val="22"/>
              </w:rPr>
              <w:t>RESEAU OFFICIEL SUBVENTIONNE</w:t>
            </w:r>
          </w:p>
        </w:tc>
        <w:tc>
          <w:tcPr>
            <w:tcW w:w="261" w:type="pct"/>
            <w:shd w:val="clear" w:color="auto" w:fill="auto"/>
            <w:vAlign w:val="center"/>
          </w:tcPr>
          <w:p>
            <w:pPr>
              <w:tabs>
                <w:tab w:val="right" w:leader="dot" w:pos="9000"/>
              </w:tabs>
              <w:autoSpaceDE w:val="0"/>
              <w:autoSpaceDN w:val="0"/>
              <w:adjustRightInd w:val="0"/>
              <w:spacing w:before="120"/>
              <w:rPr>
                <w:rFonts w:ascii="Calibri" w:hAnsi="Calibri" w:cs="Arial"/>
                <w:sz w:val="22"/>
                <w:szCs w:val="22"/>
              </w:rPr>
            </w:pPr>
            <w:r>
              <w:rPr>
                <w:rFonts w:ascii="Calibri" w:hAnsi="Calibri" w:cs="Arial"/>
                <w:sz w:val="22"/>
                <w:szCs w:val="22"/>
              </w:rPr>
              <w:fldChar w:fldCharType="begin">
                <w:ffData>
                  <w:name w:val="CaseACocher11"/>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p>
        </w:tc>
        <w:tc>
          <w:tcPr>
            <w:tcW w:w="977" w:type="pct"/>
            <w:shd w:val="clear" w:color="auto" w:fill="auto"/>
            <w:vAlign w:val="center"/>
          </w:tcPr>
          <w:p>
            <w:pPr>
              <w:tabs>
                <w:tab w:val="right" w:leader="dot" w:pos="9000"/>
              </w:tabs>
              <w:autoSpaceDE w:val="0"/>
              <w:autoSpaceDN w:val="0"/>
              <w:adjustRightInd w:val="0"/>
              <w:spacing w:before="120"/>
              <w:rPr>
                <w:rFonts w:ascii="Calibri" w:hAnsi="Calibri" w:cs="Arial"/>
                <w:sz w:val="22"/>
                <w:szCs w:val="22"/>
              </w:rPr>
            </w:pPr>
            <w:r>
              <w:rPr>
                <w:rFonts w:ascii="Calibri" w:hAnsi="Calibri" w:cs="Arial"/>
                <w:sz w:val="22"/>
                <w:szCs w:val="22"/>
              </w:rPr>
              <w:t>RESEAU LIBRE SUBVENTIONNE NON-CONFESSIONNEL</w:t>
            </w:r>
          </w:p>
        </w:tc>
        <w:tc>
          <w:tcPr>
            <w:tcW w:w="306" w:type="pct"/>
            <w:shd w:val="clear" w:color="auto" w:fill="auto"/>
            <w:vAlign w:val="center"/>
          </w:tcPr>
          <w:p>
            <w:pPr>
              <w:tabs>
                <w:tab w:val="right" w:leader="dot" w:pos="9000"/>
              </w:tabs>
              <w:autoSpaceDE w:val="0"/>
              <w:autoSpaceDN w:val="0"/>
              <w:adjustRightInd w:val="0"/>
              <w:spacing w:before="120"/>
              <w:rPr>
                <w:rFonts w:ascii="Calibri" w:hAnsi="Calibri" w:cs="Arial"/>
                <w:sz w:val="22"/>
                <w:szCs w:val="22"/>
              </w:rPr>
            </w:pPr>
            <w:r>
              <w:rPr>
                <w:rFonts w:ascii="Calibri" w:hAnsi="Calibri" w:cs="Arial"/>
                <w:sz w:val="22"/>
                <w:szCs w:val="22"/>
              </w:rPr>
              <w:fldChar w:fldCharType="begin">
                <w:ffData>
                  <w:name w:val="CaseACocher12"/>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p>
        </w:tc>
        <w:tc>
          <w:tcPr>
            <w:tcW w:w="1162" w:type="pct"/>
            <w:shd w:val="clear" w:color="auto" w:fill="auto"/>
            <w:vAlign w:val="center"/>
          </w:tcPr>
          <w:p>
            <w:pPr>
              <w:tabs>
                <w:tab w:val="right" w:leader="dot" w:pos="9000"/>
              </w:tabs>
              <w:autoSpaceDE w:val="0"/>
              <w:autoSpaceDN w:val="0"/>
              <w:adjustRightInd w:val="0"/>
              <w:spacing w:before="120"/>
              <w:rPr>
                <w:rFonts w:ascii="Calibri" w:hAnsi="Calibri" w:cs="Arial"/>
                <w:sz w:val="22"/>
                <w:szCs w:val="22"/>
              </w:rPr>
            </w:pPr>
            <w:r>
              <w:rPr>
                <w:rFonts w:ascii="Calibri" w:hAnsi="Calibri" w:cs="Arial"/>
                <w:sz w:val="22"/>
                <w:szCs w:val="22"/>
              </w:rPr>
              <w:t>RESEAU LIBRE SUBVENTIONNE CONFESSIONNEL</w:t>
            </w:r>
          </w:p>
        </w:tc>
      </w:tr>
    </w:tbl>
    <w:p>
      <w:pPr>
        <w:autoSpaceDE w:val="0"/>
        <w:autoSpaceDN w:val="0"/>
        <w:adjustRightInd w:val="0"/>
        <w:rPr>
          <w:rFonts w:ascii="Calibri" w:hAnsi="Calibri" w:cs="Arial"/>
          <w:sz w:val="22"/>
          <w:szCs w:val="22"/>
        </w:rPr>
      </w:pPr>
    </w:p>
    <w:p>
      <w:pPr>
        <w:autoSpaceDE w:val="0"/>
        <w:autoSpaceDN w:val="0"/>
        <w:adjustRightInd w:val="0"/>
        <w:rPr>
          <w:rFonts w:ascii="Calibri" w:hAnsi="Calibri" w:cs="Arial"/>
          <w:b/>
          <w:sz w:val="22"/>
          <w:szCs w:val="22"/>
        </w:rPr>
      </w:pPr>
      <w:r>
        <w:rPr>
          <w:rFonts w:ascii="Calibri" w:hAnsi="Calibri" w:cs="Arial"/>
          <w:b/>
          <w:sz w:val="22"/>
          <w:szCs w:val="22"/>
        </w:rPr>
        <w:t xml:space="preserve">ENSEIGNEMENT </w:t>
      </w:r>
    </w:p>
    <w:tbl>
      <w:tblPr>
        <w:tblW w:w="5000" w:type="pct"/>
        <w:tblLook w:val="01E0" w:firstRow="1" w:lastRow="1" w:firstColumn="1" w:lastColumn="1" w:noHBand="0" w:noVBand="0"/>
      </w:tblPr>
      <w:tblGrid>
        <w:gridCol w:w="4535"/>
        <w:gridCol w:w="4535"/>
      </w:tblGrid>
      <w:tr>
        <w:tc>
          <w:tcPr>
            <w:tcW w:w="2500" w:type="pct"/>
            <w:shd w:val="clear" w:color="auto" w:fill="auto"/>
          </w:tcPr>
          <w:p>
            <w:pPr>
              <w:autoSpaceDE w:val="0"/>
              <w:autoSpaceDN w:val="0"/>
              <w:adjustRightInd w:val="0"/>
              <w:spacing w:before="60"/>
              <w:rPr>
                <w:rFonts w:ascii="Calibri" w:hAnsi="Calibri" w:cs="Arial"/>
                <w:sz w:val="22"/>
                <w:szCs w:val="22"/>
              </w:rPr>
            </w:pPr>
            <w:r>
              <w:rPr>
                <w:rFonts w:ascii="Calibri" w:hAnsi="Calibri" w:cs="Arial"/>
                <w:sz w:val="22"/>
                <w:szCs w:val="22"/>
              </w:rPr>
              <w:fldChar w:fldCharType="begin">
                <w:ffData>
                  <w:name w:val="CaseACocher3"/>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GENERAL</w:t>
            </w:r>
          </w:p>
        </w:tc>
        <w:tc>
          <w:tcPr>
            <w:tcW w:w="2500" w:type="pct"/>
            <w:shd w:val="clear" w:color="auto" w:fill="auto"/>
          </w:tcPr>
          <w:p>
            <w:pPr>
              <w:autoSpaceDE w:val="0"/>
              <w:autoSpaceDN w:val="0"/>
              <w:adjustRightInd w:val="0"/>
              <w:spacing w:before="60"/>
              <w:rPr>
                <w:rFonts w:ascii="Calibri" w:hAnsi="Calibri" w:cs="Arial"/>
                <w:sz w:val="22"/>
                <w:szCs w:val="22"/>
              </w:rPr>
            </w:pPr>
            <w:r>
              <w:rPr>
                <w:rFonts w:ascii="Calibri" w:hAnsi="Calibri" w:cs="Arial"/>
                <w:sz w:val="22"/>
                <w:szCs w:val="22"/>
              </w:rPr>
              <w:fldChar w:fldCharType="begin">
                <w:ffData>
                  <w:name w:val="CaseACocher6"/>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TECHNIQUE DE QUALIFICATION</w:t>
            </w:r>
          </w:p>
        </w:tc>
      </w:tr>
      <w:tr>
        <w:tc>
          <w:tcPr>
            <w:tcW w:w="2500" w:type="pct"/>
            <w:shd w:val="clear" w:color="auto" w:fill="auto"/>
          </w:tcPr>
          <w:p>
            <w:pPr>
              <w:autoSpaceDE w:val="0"/>
              <w:autoSpaceDN w:val="0"/>
              <w:adjustRightInd w:val="0"/>
              <w:spacing w:before="60"/>
              <w:rPr>
                <w:rFonts w:ascii="Calibri" w:hAnsi="Calibri" w:cs="Arial"/>
                <w:sz w:val="22"/>
                <w:szCs w:val="22"/>
              </w:rPr>
            </w:pPr>
            <w:r>
              <w:rPr>
                <w:rFonts w:ascii="Calibri" w:hAnsi="Calibri" w:cs="Arial"/>
                <w:sz w:val="22"/>
                <w:szCs w:val="22"/>
              </w:rPr>
              <w:fldChar w:fldCharType="begin">
                <w:ffData>
                  <w:name w:val="CaseACocher4"/>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TECHNIQUE DE TRANSITION</w:t>
            </w:r>
          </w:p>
        </w:tc>
        <w:tc>
          <w:tcPr>
            <w:tcW w:w="2500" w:type="pct"/>
            <w:shd w:val="clear" w:color="auto" w:fill="auto"/>
          </w:tcPr>
          <w:p>
            <w:pPr>
              <w:autoSpaceDE w:val="0"/>
              <w:autoSpaceDN w:val="0"/>
              <w:adjustRightInd w:val="0"/>
              <w:spacing w:before="60"/>
              <w:rPr>
                <w:rFonts w:ascii="Calibri" w:hAnsi="Calibri" w:cs="Arial"/>
                <w:sz w:val="22"/>
                <w:szCs w:val="22"/>
              </w:rPr>
            </w:pPr>
            <w:r>
              <w:rPr>
                <w:rFonts w:ascii="Calibri" w:hAnsi="Calibri" w:cs="Arial"/>
                <w:sz w:val="22"/>
                <w:szCs w:val="22"/>
              </w:rPr>
              <w:fldChar w:fldCharType="begin">
                <w:ffData>
                  <w:name w:val="CaseACocher7"/>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ARTISTIQUE DE QUALIFICATION</w:t>
            </w:r>
          </w:p>
        </w:tc>
      </w:tr>
      <w:tr>
        <w:tc>
          <w:tcPr>
            <w:tcW w:w="2500" w:type="pct"/>
            <w:shd w:val="clear" w:color="auto" w:fill="auto"/>
          </w:tcPr>
          <w:p>
            <w:pPr>
              <w:autoSpaceDE w:val="0"/>
              <w:autoSpaceDN w:val="0"/>
              <w:adjustRightInd w:val="0"/>
              <w:spacing w:before="60"/>
              <w:rPr>
                <w:rFonts w:ascii="Calibri" w:hAnsi="Calibri" w:cs="Arial"/>
                <w:sz w:val="22"/>
                <w:szCs w:val="22"/>
              </w:rPr>
            </w:pPr>
            <w:r>
              <w:rPr>
                <w:rFonts w:ascii="Calibri" w:hAnsi="Calibri" w:cs="Arial"/>
                <w:sz w:val="22"/>
                <w:szCs w:val="22"/>
              </w:rPr>
              <w:fldChar w:fldCharType="begin">
                <w:ffData>
                  <w:name w:val="CaseACocher5"/>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ARTISTIQUE DE TRANSITION</w:t>
            </w:r>
          </w:p>
        </w:tc>
        <w:tc>
          <w:tcPr>
            <w:tcW w:w="2500" w:type="pct"/>
            <w:shd w:val="clear" w:color="auto" w:fill="auto"/>
          </w:tcPr>
          <w:p>
            <w:pPr>
              <w:autoSpaceDE w:val="0"/>
              <w:autoSpaceDN w:val="0"/>
              <w:adjustRightInd w:val="0"/>
              <w:spacing w:before="60"/>
              <w:rPr>
                <w:rFonts w:ascii="Calibri" w:hAnsi="Calibri" w:cs="Arial"/>
                <w:sz w:val="22"/>
                <w:szCs w:val="22"/>
              </w:rPr>
            </w:pPr>
            <w:r>
              <w:rPr>
                <w:rFonts w:ascii="Calibri" w:hAnsi="Calibri" w:cs="Arial"/>
                <w:sz w:val="22"/>
                <w:szCs w:val="22"/>
              </w:rPr>
              <w:fldChar w:fldCharType="begin">
                <w:ffData>
                  <w:name w:val="CaseACocher8"/>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PROFESSIONNEL</w:t>
            </w:r>
          </w:p>
        </w:tc>
      </w:tr>
    </w:tbl>
    <w:p>
      <w:pPr>
        <w:tabs>
          <w:tab w:val="right" w:leader="dot" w:pos="9000"/>
        </w:tabs>
        <w:autoSpaceDE w:val="0"/>
        <w:autoSpaceDN w:val="0"/>
        <w:adjustRightInd w:val="0"/>
        <w:rPr>
          <w:rFonts w:ascii="Calibri" w:hAnsi="Calibri" w:cs="Arial"/>
          <w:sz w:val="22"/>
          <w:szCs w:val="22"/>
        </w:rPr>
      </w:pP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 xml:space="preserve">ANNEE D'ETUDE DE L'ELEVE : </w:t>
      </w: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 xml:space="preserve">OPTION </w:t>
      </w:r>
      <w:r>
        <w:rPr>
          <w:rFonts w:ascii="Calibri" w:hAnsi="Calibri" w:cs="Arial"/>
          <w:sz w:val="22"/>
          <w:szCs w:val="22"/>
        </w:rPr>
        <w:tab/>
      </w:r>
    </w:p>
    <w:p>
      <w:pPr>
        <w:autoSpaceDE w:val="0"/>
        <w:autoSpaceDN w:val="0"/>
        <w:adjustRightInd w:val="0"/>
        <w:rPr>
          <w:rFonts w:ascii="Calibri" w:hAnsi="Calibri" w:cs="Arial"/>
          <w:sz w:val="22"/>
          <w:szCs w:val="22"/>
        </w:rPr>
      </w:pPr>
    </w:p>
    <w:p>
      <w:pPr>
        <w:autoSpaceDE w:val="0"/>
        <w:autoSpaceDN w:val="0"/>
        <w:adjustRightInd w:val="0"/>
        <w:rPr>
          <w:rFonts w:ascii="Calibri" w:hAnsi="Calibri" w:cs="Arial"/>
          <w:b/>
          <w:sz w:val="22"/>
          <w:szCs w:val="22"/>
        </w:rPr>
      </w:pPr>
      <w:r>
        <w:rPr>
          <w:rFonts w:ascii="Calibri" w:hAnsi="Calibri" w:cs="Arial"/>
          <w:b/>
          <w:sz w:val="22"/>
          <w:szCs w:val="22"/>
        </w:rPr>
        <w:t>PROCEDURE INTERNE A L'ETABLISSEMENT</w:t>
      </w:r>
    </w:p>
    <w:tbl>
      <w:tblPr>
        <w:tblW w:w="5000" w:type="pct"/>
        <w:tblLook w:val="01E0" w:firstRow="1" w:lastRow="1" w:firstColumn="1" w:lastColumn="1" w:noHBand="0" w:noVBand="0"/>
      </w:tblPr>
      <w:tblGrid>
        <w:gridCol w:w="9070"/>
      </w:tblGrid>
      <w:tr>
        <w:tc>
          <w:tcPr>
            <w:tcW w:w="5000" w:type="pct"/>
            <w:shd w:val="clear" w:color="auto" w:fill="auto"/>
          </w:tcPr>
          <w:p>
            <w:pPr>
              <w:autoSpaceDE w:val="0"/>
              <w:autoSpaceDN w:val="0"/>
              <w:adjustRightInd w:val="0"/>
              <w:spacing w:before="60"/>
              <w:rPr>
                <w:rFonts w:ascii="Calibri" w:hAnsi="Calibri" w:cs="Arial"/>
                <w:sz w:val="22"/>
                <w:szCs w:val="22"/>
              </w:rPr>
            </w:pPr>
            <w:r>
              <w:rPr>
                <w:rFonts w:ascii="Calibri" w:hAnsi="Calibri" w:cs="Arial"/>
                <w:sz w:val="22"/>
                <w:szCs w:val="22"/>
              </w:rPr>
              <w:fldChar w:fldCharType="begin">
                <w:ffData>
                  <w:name w:val="CaseACocher15"/>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JOINDRE LA PREUVE DE LA MISE EN ŒUVRE DE LA PROCEDURE DE CONCILIATION INTERNE </w:t>
            </w:r>
          </w:p>
        </w:tc>
      </w:tr>
    </w:tbl>
    <w:p>
      <w:pPr>
        <w:autoSpaceDE w:val="0"/>
        <w:autoSpaceDN w:val="0"/>
        <w:adjustRightInd w:val="0"/>
        <w:rPr>
          <w:rFonts w:ascii="Calibri" w:hAnsi="Calibri" w:cs="Arial"/>
          <w:sz w:val="22"/>
          <w:szCs w:val="22"/>
        </w:rPr>
      </w:pPr>
    </w:p>
    <w:p>
      <w:pPr>
        <w:autoSpaceDE w:val="0"/>
        <w:autoSpaceDN w:val="0"/>
        <w:adjustRightInd w:val="0"/>
        <w:rPr>
          <w:rFonts w:ascii="Calibri" w:hAnsi="Calibri" w:cs="Arial"/>
          <w:b/>
          <w:caps/>
          <w:sz w:val="22"/>
          <w:szCs w:val="22"/>
        </w:rPr>
      </w:pPr>
      <w:r>
        <w:rPr>
          <w:rFonts w:ascii="Calibri" w:hAnsi="Calibri" w:cs="Arial"/>
          <w:b/>
          <w:caps/>
          <w:sz w:val="22"/>
          <w:szCs w:val="22"/>
        </w:rPr>
        <w:t>Attestation d'orientation accordée à l'issue de la procédure de conciliation interne à l'établissement</w:t>
      </w:r>
    </w:p>
    <w:p>
      <w:pPr>
        <w:tabs>
          <w:tab w:val="right" w:pos="10204"/>
        </w:tabs>
        <w:autoSpaceDE w:val="0"/>
        <w:autoSpaceDN w:val="0"/>
        <w:adjustRightInd w:val="0"/>
        <w:spacing w:before="60"/>
        <w:rPr>
          <w:rFonts w:ascii="Calibri" w:hAnsi="Calibri" w:cs="Arial"/>
          <w:sz w:val="22"/>
          <w:szCs w:val="22"/>
        </w:rPr>
      </w:pPr>
      <w:r>
        <w:rPr>
          <w:rFonts w:ascii="Calibri" w:hAnsi="Calibri" w:cs="Arial"/>
          <w:sz w:val="22"/>
          <w:szCs w:val="22"/>
        </w:rPr>
        <w:fldChar w:fldCharType="begin">
          <w:ffData>
            <w:name w:val="CaseACocher13"/>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Attestation d'orientation C</w:t>
      </w:r>
    </w:p>
    <w:p>
      <w:pPr>
        <w:tabs>
          <w:tab w:val="right" w:leader="dot" w:pos="10260"/>
        </w:tabs>
        <w:autoSpaceDE w:val="0"/>
        <w:autoSpaceDN w:val="0"/>
        <w:adjustRightInd w:val="0"/>
        <w:spacing w:before="60"/>
        <w:rPr>
          <w:rFonts w:ascii="Calibri" w:hAnsi="Calibri" w:cs="Arial"/>
          <w:sz w:val="22"/>
          <w:szCs w:val="22"/>
        </w:rPr>
      </w:pPr>
      <w:r>
        <w:rPr>
          <w:rFonts w:ascii="Calibri" w:hAnsi="Calibri" w:cs="Arial"/>
          <w:sz w:val="22"/>
          <w:szCs w:val="22"/>
        </w:rPr>
        <w:fldChar w:fldCharType="begin">
          <w:ffData>
            <w:name w:val="CaseACocher14"/>
            <w:enabled/>
            <w:calcOnExit w:val="0"/>
            <w:checkBox>
              <w:sizeAuto/>
              <w:default w:val="0"/>
            </w:checkBox>
          </w:ffData>
        </w:fldChar>
      </w:r>
      <w:r>
        <w:rPr>
          <w:rFonts w:ascii="Calibri" w:hAnsi="Calibri" w:cs="Arial"/>
          <w:sz w:val="22"/>
          <w:szCs w:val="22"/>
        </w:rPr>
        <w:instrText xml:space="preserve"> FORMCHECKBOX </w:instrText>
      </w:r>
      <w:r>
        <w:rPr>
          <w:rFonts w:ascii="Calibri" w:hAnsi="Calibri" w:cs="Arial"/>
          <w:sz w:val="22"/>
          <w:szCs w:val="22"/>
        </w:rPr>
      </w:r>
      <w:r>
        <w:rPr>
          <w:rFonts w:ascii="Calibri" w:hAnsi="Calibri" w:cs="Arial"/>
          <w:sz w:val="22"/>
          <w:szCs w:val="22"/>
        </w:rPr>
        <w:fldChar w:fldCharType="separate"/>
      </w:r>
      <w:r>
        <w:rPr>
          <w:rFonts w:ascii="Calibri" w:hAnsi="Calibri" w:cs="Arial"/>
          <w:sz w:val="22"/>
          <w:szCs w:val="22"/>
        </w:rPr>
        <w:fldChar w:fldCharType="end"/>
      </w:r>
      <w:r>
        <w:rPr>
          <w:rFonts w:ascii="Calibri" w:hAnsi="Calibri" w:cs="Arial"/>
          <w:sz w:val="22"/>
          <w:szCs w:val="22"/>
        </w:rPr>
        <w:t xml:space="preserve"> Attestation d'orientation B n'admettant qu'à </w:t>
      </w:r>
      <w:r>
        <w:rPr>
          <w:rFonts w:ascii="Calibri" w:hAnsi="Calibri" w:cs="Arial"/>
          <w:sz w:val="22"/>
          <w:szCs w:val="22"/>
        </w:rPr>
        <w:tab/>
      </w:r>
    </w:p>
    <w:p>
      <w:pPr>
        <w:tabs>
          <w:tab w:val="right" w:leader="dot" w:pos="10260"/>
        </w:tabs>
        <w:autoSpaceDE w:val="0"/>
        <w:autoSpaceDN w:val="0"/>
        <w:adjustRightInd w:val="0"/>
        <w:ind w:left="360" w:hanging="360"/>
        <w:rPr>
          <w:rFonts w:ascii="Calibri" w:hAnsi="Calibri" w:cs="Arial"/>
          <w:sz w:val="22"/>
          <w:szCs w:val="22"/>
        </w:rPr>
      </w:pPr>
      <w:r>
        <w:rPr>
          <w:rFonts w:ascii="Calibri" w:hAnsi="Calibri" w:cs="Arial"/>
          <w:sz w:val="22"/>
          <w:szCs w:val="22"/>
        </w:rPr>
        <w:tab/>
      </w:r>
      <w:r>
        <w:rPr>
          <w:rFonts w:ascii="Calibri" w:hAnsi="Calibri" w:cs="Arial"/>
          <w:sz w:val="22"/>
          <w:szCs w:val="22"/>
        </w:rPr>
        <w:tab/>
      </w:r>
    </w:p>
    <w:p>
      <w:pPr>
        <w:autoSpaceDE w:val="0"/>
        <w:autoSpaceDN w:val="0"/>
        <w:adjustRightInd w:val="0"/>
        <w:rPr>
          <w:rFonts w:ascii="Calibri" w:hAnsi="Calibri" w:cs="Arial"/>
          <w:sz w:val="22"/>
          <w:szCs w:val="22"/>
        </w:rPr>
      </w:pPr>
    </w:p>
    <w:p>
      <w:pPr>
        <w:autoSpaceDE w:val="0"/>
        <w:autoSpaceDN w:val="0"/>
        <w:adjustRightInd w:val="0"/>
        <w:rPr>
          <w:rFonts w:ascii="Calibri" w:hAnsi="Calibri" w:cs="Arial"/>
          <w:b/>
          <w:caps/>
          <w:sz w:val="22"/>
          <w:szCs w:val="22"/>
        </w:rPr>
      </w:pPr>
      <w:r>
        <w:rPr>
          <w:rFonts w:ascii="Calibri" w:hAnsi="Calibri" w:cs="Arial"/>
          <w:b/>
          <w:caps/>
          <w:sz w:val="22"/>
          <w:szCs w:val="22"/>
        </w:rPr>
        <w:t>Raisons pour lesquelles vous contestez la décision du Conseil de classe (tous documents utiles peuvent etre joints en annexe)</w:t>
      </w:r>
      <w:r>
        <w:rPr>
          <w:rFonts w:ascii="Calibri" w:hAnsi="Calibri" w:cs="Arial"/>
          <w:b/>
          <w:caps/>
          <w:sz w:val="22"/>
          <w:szCs w:val="22"/>
          <w:vertAlign w:val="superscript"/>
        </w:rPr>
        <w:footnoteReference w:id="5"/>
      </w:r>
    </w:p>
    <w:p>
      <w:pPr>
        <w:autoSpaceDE w:val="0"/>
        <w:autoSpaceDN w:val="0"/>
        <w:adjustRightInd w:val="0"/>
        <w:jc w:val="both"/>
        <w:rPr>
          <w:rFonts w:ascii="Calibri" w:hAnsi="Calibri" w:cs="Arial"/>
          <w:b/>
          <w:bCs/>
          <w:sz w:val="18"/>
          <w:szCs w:val="18"/>
        </w:rPr>
      </w:pPr>
      <w:r>
        <w:rPr>
          <w:rFonts w:ascii="Calibri" w:hAnsi="Calibri" w:cs="Arial"/>
          <w:b/>
          <w:caps/>
          <w:sz w:val="22"/>
          <w:szCs w:val="22"/>
          <w:u w:val="single"/>
        </w:rPr>
        <w:t>Rappel</w:t>
      </w:r>
      <w:r>
        <w:rPr>
          <w:rFonts w:ascii="Calibri" w:hAnsi="Calibri" w:cs="Arial"/>
          <w:b/>
          <w:caps/>
          <w:sz w:val="22"/>
          <w:szCs w:val="22"/>
        </w:rPr>
        <w:t xml:space="preserve"> : </w:t>
      </w:r>
      <w:r>
        <w:rPr>
          <w:rFonts w:ascii="Calibri" w:hAnsi="Calibri" w:cs="Arial"/>
          <w:b/>
          <w:bCs/>
          <w:sz w:val="18"/>
          <w:szCs w:val="18"/>
        </w:rPr>
        <w:t>Le Conseil de recours ne peut accorder d'examen de repêchage en septembre, et n'est pas compétent pour l'examen des décisions des jurys de qualification.</w:t>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tabs>
          <w:tab w:val="right" w:leader="dot" w:pos="10260"/>
        </w:tabs>
        <w:autoSpaceDE w:val="0"/>
        <w:autoSpaceDN w:val="0"/>
        <w:adjustRightInd w:val="0"/>
        <w:rPr>
          <w:rFonts w:ascii="Calibri" w:hAnsi="Calibri" w:cs="Arial"/>
          <w:sz w:val="22"/>
          <w:szCs w:val="22"/>
        </w:rPr>
      </w:pPr>
      <w:r>
        <w:rPr>
          <w:rFonts w:ascii="Calibri" w:hAnsi="Calibri" w:cs="Arial"/>
          <w:sz w:val="22"/>
          <w:szCs w:val="22"/>
        </w:rPr>
        <w:tab/>
      </w:r>
    </w:p>
    <w:p>
      <w:pPr>
        <w:autoSpaceDE w:val="0"/>
        <w:autoSpaceDN w:val="0"/>
        <w:adjustRightInd w:val="0"/>
        <w:rPr>
          <w:rFonts w:ascii="Calibri" w:hAnsi="Calibri" w:cs="Arial"/>
          <w:sz w:val="22"/>
          <w:szCs w:val="22"/>
        </w:rPr>
      </w:pPr>
    </w:p>
    <w:p>
      <w:pPr>
        <w:tabs>
          <w:tab w:val="right" w:leader="dot" w:pos="4680"/>
          <w:tab w:val="right" w:leader="dot" w:pos="10260"/>
        </w:tabs>
        <w:autoSpaceDE w:val="0"/>
        <w:autoSpaceDN w:val="0"/>
        <w:adjustRightInd w:val="0"/>
        <w:rPr>
          <w:rFonts w:ascii="Calibri" w:hAnsi="Calibri" w:cs="Arial"/>
          <w:sz w:val="22"/>
          <w:szCs w:val="22"/>
        </w:rPr>
      </w:pPr>
      <w:r>
        <w:rPr>
          <w:rFonts w:ascii="Calibri" w:hAnsi="Calibri" w:cs="Arial"/>
          <w:sz w:val="22"/>
          <w:szCs w:val="22"/>
        </w:rPr>
        <w:t>Date :</w:t>
      </w:r>
      <w:r>
        <w:rPr>
          <w:rFonts w:ascii="Calibri" w:hAnsi="Calibri" w:cs="Arial"/>
          <w:sz w:val="22"/>
          <w:szCs w:val="22"/>
        </w:rPr>
        <w:tab/>
        <w:t xml:space="preserve"> Lieu</w:t>
      </w:r>
      <w:r>
        <w:rPr>
          <w:rFonts w:ascii="Calibri" w:hAnsi="Calibri" w:cs="Arial"/>
          <w:sz w:val="22"/>
          <w:szCs w:val="22"/>
        </w:rPr>
        <w:tab/>
      </w:r>
    </w:p>
    <w:p>
      <w:pPr>
        <w:autoSpaceDE w:val="0"/>
        <w:autoSpaceDN w:val="0"/>
        <w:adjustRightInd w:val="0"/>
        <w:rPr>
          <w:rFonts w:ascii="Calibri" w:hAnsi="Calibri" w:cs="Arial"/>
          <w:sz w:val="22"/>
          <w:szCs w:val="22"/>
        </w:rPr>
      </w:pPr>
    </w:p>
    <w:p>
      <w:pPr>
        <w:autoSpaceDE w:val="0"/>
        <w:autoSpaceDN w:val="0"/>
        <w:adjustRightInd w:val="0"/>
        <w:rPr>
          <w:rFonts w:ascii="Calibri" w:hAnsi="Calibri" w:cs="Arial"/>
          <w:sz w:val="22"/>
          <w:szCs w:val="22"/>
        </w:rPr>
      </w:pPr>
      <w:r>
        <w:rPr>
          <w:rFonts w:ascii="Calibri" w:hAnsi="Calibri" w:cs="Arial"/>
          <w:sz w:val="22"/>
          <w:szCs w:val="22"/>
        </w:rPr>
        <w:t>Signature de l'élève majeur ou des parents (représentants légaux) de l'élève mineur</w:t>
      </w:r>
    </w:p>
    <w:p>
      <w:pPr>
        <w:autoSpaceDE w:val="0"/>
        <w:autoSpaceDN w:val="0"/>
        <w:adjustRightInd w:val="0"/>
        <w:jc w:val="both"/>
        <w:rPr>
          <w:rFonts w:ascii="Calibri" w:hAnsi="Calibri" w:cs="Arial"/>
          <w:sz w:val="22"/>
          <w:szCs w:val="22"/>
        </w:rPr>
      </w:pPr>
    </w:p>
    <w:p>
      <w:pPr>
        <w:autoSpaceDE w:val="0"/>
        <w:autoSpaceDN w:val="0"/>
        <w:adjustRightInd w:val="0"/>
        <w:jc w:val="both"/>
        <w:rPr>
          <w:rFonts w:ascii="Calibri" w:hAnsi="Calibri" w:cs="Arial"/>
          <w:sz w:val="22"/>
          <w:szCs w:val="22"/>
        </w:rPr>
      </w:pPr>
    </w:p>
    <w:p>
      <w:pPr>
        <w:autoSpaceDE w:val="0"/>
        <w:autoSpaceDN w:val="0"/>
        <w:adjustRightInd w:val="0"/>
        <w:jc w:val="both"/>
        <w:rPr>
          <w:rFonts w:ascii="Calibri" w:hAnsi="Calibri" w:cs="Arial"/>
          <w:sz w:val="22"/>
          <w:szCs w:val="22"/>
        </w:rPr>
      </w:pPr>
    </w:p>
    <w:p>
      <w:pPr>
        <w:autoSpaceDE w:val="0"/>
        <w:autoSpaceDN w:val="0"/>
        <w:adjustRightInd w:val="0"/>
        <w:jc w:val="both"/>
        <w:rPr>
          <w:rFonts w:ascii="Calibri" w:hAnsi="Calibri" w:cs="Arial"/>
          <w:b/>
          <w:bCs/>
          <w:sz w:val="18"/>
          <w:szCs w:val="18"/>
        </w:rPr>
      </w:pPr>
    </w:p>
    <w:sectPr>
      <w:footerReference w:type="even" r:id="rId13"/>
      <w:footerReference w:type="default" r:id="rId14"/>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entury Schoolbook">
    <w:panose1 w:val="02040604050505020304"/>
    <w:charset w:val="00"/>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pPr>
      <w:pStyle w:val="Pieddepag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framePr w:wrap="around" w:vAnchor="text" w:hAnchor="margin" w:xAlign="right" w:y="1"/>
      <w:rPr>
        <w:rStyle w:val="Numrodepage"/>
        <w:rFonts w:ascii="Arial" w:hAnsi="Arial" w:cs="Arial"/>
        <w:sz w:val="18"/>
        <w:szCs w:val="18"/>
      </w:rPr>
    </w:pPr>
    <w:r>
      <w:rPr>
        <w:rStyle w:val="Numrodepage"/>
        <w:rFonts w:ascii="Arial" w:hAnsi="Arial" w:cs="Arial"/>
        <w:sz w:val="18"/>
        <w:szCs w:val="18"/>
      </w:rPr>
      <w:fldChar w:fldCharType="begin"/>
    </w:r>
    <w:r>
      <w:rPr>
        <w:rStyle w:val="Numrodepage"/>
        <w:rFonts w:ascii="Arial" w:hAnsi="Arial" w:cs="Arial"/>
        <w:sz w:val="18"/>
        <w:szCs w:val="18"/>
      </w:rPr>
      <w:instrText xml:space="preserve">PAGE  </w:instrText>
    </w:r>
    <w:r>
      <w:rPr>
        <w:rStyle w:val="Numrodepage"/>
        <w:rFonts w:ascii="Arial" w:hAnsi="Arial" w:cs="Arial"/>
        <w:sz w:val="18"/>
        <w:szCs w:val="18"/>
      </w:rPr>
      <w:fldChar w:fldCharType="separate"/>
    </w:r>
    <w:r>
      <w:rPr>
        <w:rStyle w:val="Numrodepage"/>
        <w:rFonts w:ascii="Arial" w:hAnsi="Arial" w:cs="Arial"/>
        <w:noProof/>
        <w:sz w:val="18"/>
        <w:szCs w:val="18"/>
      </w:rPr>
      <w:t>21</w:t>
    </w:r>
    <w:r>
      <w:rPr>
        <w:rStyle w:val="Numrodepage"/>
        <w:rFonts w:ascii="Arial" w:hAnsi="Arial" w:cs="Arial"/>
        <w:sz w:val="18"/>
        <w:szCs w:val="18"/>
      </w:rPr>
      <w:fldChar w:fldCharType="end"/>
    </w:r>
  </w:p>
  <w:p>
    <w:pPr>
      <w:pStyle w:val="Pieddepage"/>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 w:id="1">
    <w:p>
      <w:pPr>
        <w:pStyle w:val="Notedebasdepage"/>
        <w:ind w:left="180" w:hanging="180"/>
        <w:jc w:val="both"/>
        <w:rPr>
          <w:rFonts w:ascii="Georgia" w:hAnsi="Georgia" w:cs="Arial"/>
          <w:sz w:val="18"/>
          <w:szCs w:val="18"/>
          <w:lang w:val="fr-BE"/>
        </w:rPr>
      </w:pPr>
      <w:r>
        <w:rPr>
          <w:rStyle w:val="Appelnotedebasdep"/>
          <w:rFonts w:ascii="Arial" w:hAnsi="Arial" w:cs="Arial"/>
          <w:sz w:val="16"/>
          <w:szCs w:val="16"/>
        </w:rPr>
        <w:footnoteRef/>
      </w:r>
      <w:r>
        <w:rPr>
          <w:rFonts w:ascii="Arial" w:hAnsi="Arial" w:cs="Arial"/>
          <w:sz w:val="16"/>
          <w:szCs w:val="16"/>
        </w:rPr>
        <w:tab/>
      </w:r>
      <w:r>
        <w:rPr>
          <w:rFonts w:ascii="Georgia" w:hAnsi="Georgia" w:cs="Arial"/>
          <w:sz w:val="18"/>
          <w:szCs w:val="18"/>
          <w:lang w:val="fr-BE"/>
        </w:rPr>
        <w:t xml:space="preserve">Article 96 du décret du 24 juillet 1997 </w:t>
      </w:r>
      <w:r>
        <w:rPr>
          <w:rFonts w:ascii="Georgia" w:hAnsi="Georgia" w:cs="Arial"/>
          <w:sz w:val="18"/>
          <w:szCs w:val="18"/>
        </w:rPr>
        <w:t xml:space="preserve">définissant les missions prioritaires de l'enseignement fondamental et de l'enseignement secondaire et organisant les structures propres à les atteindre, </w:t>
      </w:r>
      <w:r>
        <w:rPr>
          <w:rFonts w:ascii="Georgia" w:hAnsi="Georgia" w:cs="Arial"/>
          <w:i/>
          <w:sz w:val="18"/>
          <w:szCs w:val="18"/>
        </w:rPr>
        <w:t>M.B.</w:t>
      </w:r>
      <w:r>
        <w:rPr>
          <w:rFonts w:ascii="Georgia" w:hAnsi="Georgia" w:cs="Arial"/>
          <w:sz w:val="18"/>
          <w:szCs w:val="18"/>
        </w:rPr>
        <w:t>, 23 septembre 1997 ; ci-après le décret</w:t>
      </w:r>
      <w:r>
        <w:rPr>
          <w:rFonts w:ascii="Arial" w:hAnsi="Arial" w:cs="Arial"/>
          <w:sz w:val="16"/>
          <w:szCs w:val="16"/>
        </w:rPr>
        <w:t xml:space="preserve"> </w:t>
      </w:r>
      <w:r>
        <w:rPr>
          <w:rFonts w:ascii="Georgia" w:hAnsi="Georgia" w:cs="Arial"/>
          <w:sz w:val="18"/>
          <w:szCs w:val="18"/>
        </w:rPr>
        <w:t>Missions.</w:t>
      </w:r>
    </w:p>
  </w:footnote>
  <w:footnote w:id="2">
    <w:p>
      <w:pPr>
        <w:pStyle w:val="Notedebasdepage"/>
        <w:tabs>
          <w:tab w:val="left" w:pos="180"/>
        </w:tabs>
        <w:ind w:left="180" w:hanging="180"/>
      </w:pPr>
      <w:r>
        <w:rPr>
          <w:rStyle w:val="Appelnotedebasdep"/>
        </w:rPr>
        <w:footnoteRef/>
      </w:r>
      <w:r>
        <w:rPr>
          <w:rFonts w:ascii="Arial" w:hAnsi="Arial" w:cs="Arial"/>
          <w:sz w:val="18"/>
          <w:szCs w:val="18"/>
        </w:rPr>
        <w:tab/>
      </w:r>
      <w:r>
        <w:rPr>
          <w:rFonts w:ascii="Georgia" w:hAnsi="Georgia" w:cs="Arial"/>
          <w:sz w:val="18"/>
          <w:szCs w:val="18"/>
        </w:rPr>
        <w:t>Article 22</w:t>
      </w:r>
      <w:r>
        <w:rPr>
          <w:rFonts w:ascii="Georgia" w:hAnsi="Georgia" w:cs="Arial"/>
          <w:bCs/>
          <w:sz w:val="18"/>
          <w:szCs w:val="18"/>
        </w:rPr>
        <w:t xml:space="preserve"> du Décret du 30 juin 2006 relatif à l'organisation pédagogique du 1er degré de l'enseignement secondaire</w:t>
      </w:r>
    </w:p>
  </w:footnote>
  <w:footnote w:id="3">
    <w:p>
      <w:pPr>
        <w:pStyle w:val="Notedebasdepage"/>
        <w:rPr>
          <w:lang w:val="fr-BE"/>
        </w:rPr>
      </w:pPr>
      <w:r>
        <w:rPr>
          <w:rStyle w:val="Appelnotedebasdep"/>
        </w:rPr>
        <w:footnoteRef/>
      </w:r>
      <w:r>
        <w:t xml:space="preserve"> Pour l’enseignement secondaire organisé par la Communauté française, voir le Règlement des études relatif à l'enseignement secondaire ordinaire de la Communauté française, arrêté ministériel du 1</w:t>
      </w:r>
      <w:r>
        <w:rPr>
          <w:vertAlign w:val="superscript"/>
        </w:rPr>
        <w:t>er</w:t>
      </w:r>
      <w:r>
        <w:t xml:space="preserve"> juillet 2014 portant approbation du règlement des études de l'Enseignement secondaire ordinaire organisé par la Communauté française. </w:t>
      </w:r>
    </w:p>
  </w:footnote>
  <w:footnote w:id="4">
    <w:p>
      <w:pPr>
        <w:pStyle w:val="Notedebasdepage"/>
        <w:tabs>
          <w:tab w:val="left" w:pos="180"/>
        </w:tabs>
        <w:ind w:left="180" w:hanging="180"/>
        <w:rPr>
          <w:lang w:val="fr-BE"/>
        </w:rPr>
      </w:pPr>
      <w:r>
        <w:rPr>
          <w:rStyle w:val="Appelnotedebasdep"/>
        </w:rPr>
        <w:footnoteRef/>
      </w:r>
      <w:r>
        <w:tab/>
        <w:t>Si vous ne disposez pas de suffisamment d’espace, vous pouvez joindre un courrier complémentaire ou d’autres documents que vous jugeriez utiles pour l’analyse de votre demande.</w:t>
      </w:r>
    </w:p>
  </w:footnote>
  <w:footnote w:id="5">
    <w:p>
      <w:pPr>
        <w:pStyle w:val="Notedebasdepage"/>
        <w:tabs>
          <w:tab w:val="left" w:pos="180"/>
        </w:tabs>
        <w:ind w:left="180" w:hanging="180"/>
        <w:rPr>
          <w:lang w:val="fr-BE"/>
        </w:rPr>
      </w:pPr>
      <w:r>
        <w:rPr>
          <w:rStyle w:val="Appelnotedebasdep"/>
        </w:rPr>
        <w:footnoteRef/>
      </w:r>
      <w:r>
        <w:tab/>
        <w:t>Si vous ne disposez pas de suffisamment d’espace, vous pouvez joindre un courrier complémentaire ou d’autres documents que vous jugeriez utiles pour l’analyse de votre demande.</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1A6B50"/>
    <w:multiLevelType w:val="hybridMultilevel"/>
    <w:tmpl w:val="FD429586"/>
    <w:lvl w:ilvl="0" w:tplc="A6A0C124">
      <w:start w:val="2"/>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31123E"/>
    <w:multiLevelType w:val="hybridMultilevel"/>
    <w:tmpl w:val="04CEC870"/>
    <w:lvl w:ilvl="0" w:tplc="AC06D11E">
      <w:start w:val="1"/>
      <w:numFmt w:val="lowerLetter"/>
      <w:lvlText w:val="%1."/>
      <w:lvlJc w:val="left"/>
      <w:pPr>
        <w:tabs>
          <w:tab w:val="num" w:pos="1440"/>
        </w:tabs>
        <w:ind w:left="1440" w:hanging="360"/>
      </w:pPr>
      <w:rPr>
        <w:rFonts w:hint="default"/>
      </w:rPr>
    </w:lvl>
    <w:lvl w:ilvl="1" w:tplc="040C0019" w:tentative="1">
      <w:start w:val="1"/>
      <w:numFmt w:val="lowerLetter"/>
      <w:lvlText w:val="%2."/>
      <w:lvlJc w:val="left"/>
      <w:pPr>
        <w:tabs>
          <w:tab w:val="num" w:pos="2160"/>
        </w:tabs>
        <w:ind w:left="2160" w:hanging="360"/>
      </w:pPr>
    </w:lvl>
    <w:lvl w:ilvl="2" w:tplc="040C001B" w:tentative="1">
      <w:start w:val="1"/>
      <w:numFmt w:val="lowerRoman"/>
      <w:lvlText w:val="%3."/>
      <w:lvlJc w:val="right"/>
      <w:pPr>
        <w:tabs>
          <w:tab w:val="num" w:pos="2880"/>
        </w:tabs>
        <w:ind w:left="2880" w:hanging="180"/>
      </w:pPr>
    </w:lvl>
    <w:lvl w:ilvl="3" w:tplc="040C000F" w:tentative="1">
      <w:start w:val="1"/>
      <w:numFmt w:val="decimal"/>
      <w:lvlText w:val="%4."/>
      <w:lvlJc w:val="left"/>
      <w:pPr>
        <w:tabs>
          <w:tab w:val="num" w:pos="3600"/>
        </w:tabs>
        <w:ind w:left="3600" w:hanging="360"/>
      </w:pPr>
    </w:lvl>
    <w:lvl w:ilvl="4" w:tplc="040C0019" w:tentative="1">
      <w:start w:val="1"/>
      <w:numFmt w:val="lowerLetter"/>
      <w:lvlText w:val="%5."/>
      <w:lvlJc w:val="left"/>
      <w:pPr>
        <w:tabs>
          <w:tab w:val="num" w:pos="4320"/>
        </w:tabs>
        <w:ind w:left="4320" w:hanging="360"/>
      </w:pPr>
    </w:lvl>
    <w:lvl w:ilvl="5" w:tplc="040C001B" w:tentative="1">
      <w:start w:val="1"/>
      <w:numFmt w:val="lowerRoman"/>
      <w:lvlText w:val="%6."/>
      <w:lvlJc w:val="right"/>
      <w:pPr>
        <w:tabs>
          <w:tab w:val="num" w:pos="5040"/>
        </w:tabs>
        <w:ind w:left="5040" w:hanging="180"/>
      </w:pPr>
    </w:lvl>
    <w:lvl w:ilvl="6" w:tplc="040C000F" w:tentative="1">
      <w:start w:val="1"/>
      <w:numFmt w:val="decimal"/>
      <w:lvlText w:val="%7."/>
      <w:lvlJc w:val="left"/>
      <w:pPr>
        <w:tabs>
          <w:tab w:val="num" w:pos="5760"/>
        </w:tabs>
        <w:ind w:left="5760" w:hanging="360"/>
      </w:pPr>
    </w:lvl>
    <w:lvl w:ilvl="7" w:tplc="040C0019" w:tentative="1">
      <w:start w:val="1"/>
      <w:numFmt w:val="lowerLetter"/>
      <w:lvlText w:val="%8."/>
      <w:lvlJc w:val="left"/>
      <w:pPr>
        <w:tabs>
          <w:tab w:val="num" w:pos="6480"/>
        </w:tabs>
        <w:ind w:left="6480" w:hanging="360"/>
      </w:pPr>
    </w:lvl>
    <w:lvl w:ilvl="8" w:tplc="040C001B" w:tentative="1">
      <w:start w:val="1"/>
      <w:numFmt w:val="lowerRoman"/>
      <w:lvlText w:val="%9."/>
      <w:lvlJc w:val="right"/>
      <w:pPr>
        <w:tabs>
          <w:tab w:val="num" w:pos="7200"/>
        </w:tabs>
        <w:ind w:left="7200" w:hanging="180"/>
      </w:pPr>
    </w:lvl>
  </w:abstractNum>
  <w:abstractNum w:abstractNumId="2" w15:restartNumberingAfterBreak="0">
    <w:nsid w:val="03C711F8"/>
    <w:multiLevelType w:val="multilevel"/>
    <w:tmpl w:val="389E682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687290F"/>
    <w:multiLevelType w:val="multilevel"/>
    <w:tmpl w:val="04CEC870"/>
    <w:lvl w:ilvl="0">
      <w:start w:val="1"/>
      <w:numFmt w:val="lowerLetter"/>
      <w:lvlText w:val="%1."/>
      <w:lvlJc w:val="left"/>
      <w:pPr>
        <w:tabs>
          <w:tab w:val="num" w:pos="1440"/>
        </w:tabs>
        <w:ind w:left="1440" w:hanging="360"/>
      </w:pPr>
      <w:rPr>
        <w:rFonts w:hint="default"/>
      </w:rPr>
    </w:lvl>
    <w:lvl w:ilvl="1">
      <w:start w:val="1"/>
      <w:numFmt w:val="lowerLetter"/>
      <w:lvlText w:val="%2."/>
      <w:lvlJc w:val="left"/>
      <w:pPr>
        <w:tabs>
          <w:tab w:val="num" w:pos="2160"/>
        </w:tabs>
        <w:ind w:left="2160" w:hanging="360"/>
      </w:pPr>
    </w:lvl>
    <w:lvl w:ilvl="2">
      <w:start w:val="1"/>
      <w:numFmt w:val="lowerRoman"/>
      <w:lvlText w:val="%3."/>
      <w:lvlJc w:val="right"/>
      <w:pPr>
        <w:tabs>
          <w:tab w:val="num" w:pos="2880"/>
        </w:tabs>
        <w:ind w:left="2880" w:hanging="180"/>
      </w:p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4" w15:restartNumberingAfterBreak="0">
    <w:nsid w:val="10857844"/>
    <w:multiLevelType w:val="hybridMultilevel"/>
    <w:tmpl w:val="66C64834"/>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5" w15:restartNumberingAfterBreak="0">
    <w:nsid w:val="145A6896"/>
    <w:multiLevelType w:val="hybridMultilevel"/>
    <w:tmpl w:val="1518B248"/>
    <w:lvl w:ilvl="0" w:tplc="AC6AE1E6">
      <w:start w:val="1"/>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14732ABC"/>
    <w:multiLevelType w:val="hybridMultilevel"/>
    <w:tmpl w:val="93E643D6"/>
    <w:lvl w:ilvl="0" w:tplc="AC6AE1E6">
      <w:start w:val="1"/>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5534BE7"/>
    <w:multiLevelType w:val="hybridMultilevel"/>
    <w:tmpl w:val="602AC21C"/>
    <w:lvl w:ilvl="0" w:tplc="FF5E7284">
      <w:start w:val="1"/>
      <w:numFmt w:val="lowerLetter"/>
      <w:lvlText w:val="%1."/>
      <w:lvlJc w:val="left"/>
      <w:pPr>
        <w:tabs>
          <w:tab w:val="num" w:pos="2520"/>
        </w:tabs>
        <w:ind w:left="2520" w:hanging="360"/>
      </w:pPr>
      <w:rPr>
        <w:rFonts w:hint="default"/>
      </w:rPr>
    </w:lvl>
    <w:lvl w:ilvl="1" w:tplc="040C0019">
      <w:start w:val="1"/>
      <w:numFmt w:val="lowerLetter"/>
      <w:lvlText w:val="%2."/>
      <w:lvlJc w:val="left"/>
      <w:pPr>
        <w:tabs>
          <w:tab w:val="num" w:pos="2520"/>
        </w:tabs>
        <w:ind w:left="2520" w:hanging="360"/>
      </w:pPr>
    </w:lvl>
    <w:lvl w:ilvl="2" w:tplc="040C001B" w:tentative="1">
      <w:start w:val="1"/>
      <w:numFmt w:val="lowerRoman"/>
      <w:lvlText w:val="%3."/>
      <w:lvlJc w:val="right"/>
      <w:pPr>
        <w:tabs>
          <w:tab w:val="num" w:pos="3240"/>
        </w:tabs>
        <w:ind w:left="3240" w:hanging="180"/>
      </w:pPr>
    </w:lvl>
    <w:lvl w:ilvl="3" w:tplc="040C000F" w:tentative="1">
      <w:start w:val="1"/>
      <w:numFmt w:val="decimal"/>
      <w:lvlText w:val="%4."/>
      <w:lvlJc w:val="left"/>
      <w:pPr>
        <w:tabs>
          <w:tab w:val="num" w:pos="3960"/>
        </w:tabs>
        <w:ind w:left="3960" w:hanging="360"/>
      </w:pPr>
    </w:lvl>
    <w:lvl w:ilvl="4" w:tplc="040C0019" w:tentative="1">
      <w:start w:val="1"/>
      <w:numFmt w:val="lowerLetter"/>
      <w:lvlText w:val="%5."/>
      <w:lvlJc w:val="left"/>
      <w:pPr>
        <w:tabs>
          <w:tab w:val="num" w:pos="4680"/>
        </w:tabs>
        <w:ind w:left="4680" w:hanging="360"/>
      </w:pPr>
    </w:lvl>
    <w:lvl w:ilvl="5" w:tplc="040C001B" w:tentative="1">
      <w:start w:val="1"/>
      <w:numFmt w:val="lowerRoman"/>
      <w:lvlText w:val="%6."/>
      <w:lvlJc w:val="right"/>
      <w:pPr>
        <w:tabs>
          <w:tab w:val="num" w:pos="5400"/>
        </w:tabs>
        <w:ind w:left="5400" w:hanging="180"/>
      </w:pPr>
    </w:lvl>
    <w:lvl w:ilvl="6" w:tplc="040C000F" w:tentative="1">
      <w:start w:val="1"/>
      <w:numFmt w:val="decimal"/>
      <w:lvlText w:val="%7."/>
      <w:lvlJc w:val="left"/>
      <w:pPr>
        <w:tabs>
          <w:tab w:val="num" w:pos="6120"/>
        </w:tabs>
        <w:ind w:left="6120" w:hanging="360"/>
      </w:pPr>
    </w:lvl>
    <w:lvl w:ilvl="7" w:tplc="040C0019" w:tentative="1">
      <w:start w:val="1"/>
      <w:numFmt w:val="lowerLetter"/>
      <w:lvlText w:val="%8."/>
      <w:lvlJc w:val="left"/>
      <w:pPr>
        <w:tabs>
          <w:tab w:val="num" w:pos="6840"/>
        </w:tabs>
        <w:ind w:left="6840" w:hanging="360"/>
      </w:pPr>
    </w:lvl>
    <w:lvl w:ilvl="8" w:tplc="040C001B" w:tentative="1">
      <w:start w:val="1"/>
      <w:numFmt w:val="lowerRoman"/>
      <w:lvlText w:val="%9."/>
      <w:lvlJc w:val="right"/>
      <w:pPr>
        <w:tabs>
          <w:tab w:val="num" w:pos="7560"/>
        </w:tabs>
        <w:ind w:left="7560" w:hanging="180"/>
      </w:pPr>
    </w:lvl>
  </w:abstractNum>
  <w:abstractNum w:abstractNumId="8" w15:restartNumberingAfterBreak="0">
    <w:nsid w:val="1DE76D72"/>
    <w:multiLevelType w:val="hybridMultilevel"/>
    <w:tmpl w:val="7820C720"/>
    <w:lvl w:ilvl="0" w:tplc="080C0003">
      <w:start w:val="1"/>
      <w:numFmt w:val="bullet"/>
      <w:lvlText w:val="o"/>
      <w:lvlJc w:val="left"/>
      <w:pPr>
        <w:ind w:left="1800" w:hanging="360"/>
      </w:pPr>
      <w:rPr>
        <w:rFonts w:ascii="Courier New" w:hAnsi="Courier New" w:cs="Courier New" w:hint="default"/>
      </w:rPr>
    </w:lvl>
    <w:lvl w:ilvl="1" w:tplc="080C0003" w:tentative="1">
      <w:start w:val="1"/>
      <w:numFmt w:val="bullet"/>
      <w:lvlText w:val="o"/>
      <w:lvlJc w:val="left"/>
      <w:pPr>
        <w:ind w:left="2520" w:hanging="360"/>
      </w:pPr>
      <w:rPr>
        <w:rFonts w:ascii="Courier New" w:hAnsi="Courier New" w:cs="Courier New" w:hint="default"/>
      </w:rPr>
    </w:lvl>
    <w:lvl w:ilvl="2" w:tplc="080C0005" w:tentative="1">
      <w:start w:val="1"/>
      <w:numFmt w:val="bullet"/>
      <w:lvlText w:val=""/>
      <w:lvlJc w:val="left"/>
      <w:pPr>
        <w:ind w:left="3240" w:hanging="360"/>
      </w:pPr>
      <w:rPr>
        <w:rFonts w:ascii="Wingdings" w:hAnsi="Wingdings" w:hint="default"/>
      </w:rPr>
    </w:lvl>
    <w:lvl w:ilvl="3" w:tplc="080C0001" w:tentative="1">
      <w:start w:val="1"/>
      <w:numFmt w:val="bullet"/>
      <w:lvlText w:val=""/>
      <w:lvlJc w:val="left"/>
      <w:pPr>
        <w:ind w:left="3960" w:hanging="360"/>
      </w:pPr>
      <w:rPr>
        <w:rFonts w:ascii="Symbol" w:hAnsi="Symbol" w:hint="default"/>
      </w:rPr>
    </w:lvl>
    <w:lvl w:ilvl="4" w:tplc="080C0003" w:tentative="1">
      <w:start w:val="1"/>
      <w:numFmt w:val="bullet"/>
      <w:lvlText w:val="o"/>
      <w:lvlJc w:val="left"/>
      <w:pPr>
        <w:ind w:left="4680" w:hanging="360"/>
      </w:pPr>
      <w:rPr>
        <w:rFonts w:ascii="Courier New" w:hAnsi="Courier New" w:cs="Courier New" w:hint="default"/>
      </w:rPr>
    </w:lvl>
    <w:lvl w:ilvl="5" w:tplc="080C0005" w:tentative="1">
      <w:start w:val="1"/>
      <w:numFmt w:val="bullet"/>
      <w:lvlText w:val=""/>
      <w:lvlJc w:val="left"/>
      <w:pPr>
        <w:ind w:left="5400" w:hanging="360"/>
      </w:pPr>
      <w:rPr>
        <w:rFonts w:ascii="Wingdings" w:hAnsi="Wingdings" w:hint="default"/>
      </w:rPr>
    </w:lvl>
    <w:lvl w:ilvl="6" w:tplc="080C0001" w:tentative="1">
      <w:start w:val="1"/>
      <w:numFmt w:val="bullet"/>
      <w:lvlText w:val=""/>
      <w:lvlJc w:val="left"/>
      <w:pPr>
        <w:ind w:left="6120" w:hanging="360"/>
      </w:pPr>
      <w:rPr>
        <w:rFonts w:ascii="Symbol" w:hAnsi="Symbol" w:hint="default"/>
      </w:rPr>
    </w:lvl>
    <w:lvl w:ilvl="7" w:tplc="080C0003" w:tentative="1">
      <w:start w:val="1"/>
      <w:numFmt w:val="bullet"/>
      <w:lvlText w:val="o"/>
      <w:lvlJc w:val="left"/>
      <w:pPr>
        <w:ind w:left="6840" w:hanging="360"/>
      </w:pPr>
      <w:rPr>
        <w:rFonts w:ascii="Courier New" w:hAnsi="Courier New" w:cs="Courier New" w:hint="default"/>
      </w:rPr>
    </w:lvl>
    <w:lvl w:ilvl="8" w:tplc="080C0005" w:tentative="1">
      <w:start w:val="1"/>
      <w:numFmt w:val="bullet"/>
      <w:lvlText w:val=""/>
      <w:lvlJc w:val="left"/>
      <w:pPr>
        <w:ind w:left="7560" w:hanging="360"/>
      </w:pPr>
      <w:rPr>
        <w:rFonts w:ascii="Wingdings" w:hAnsi="Wingdings" w:hint="default"/>
      </w:rPr>
    </w:lvl>
  </w:abstractNum>
  <w:abstractNum w:abstractNumId="9" w15:restartNumberingAfterBreak="0">
    <w:nsid w:val="20BD2F22"/>
    <w:multiLevelType w:val="hybridMultilevel"/>
    <w:tmpl w:val="D1B80828"/>
    <w:lvl w:ilvl="0" w:tplc="040C000F">
      <w:start w:val="1"/>
      <w:numFmt w:val="decimal"/>
      <w:lvlText w:val="%1."/>
      <w:lvlJc w:val="left"/>
      <w:pPr>
        <w:tabs>
          <w:tab w:val="num" w:pos="360"/>
        </w:tabs>
        <w:ind w:left="360" w:hanging="360"/>
      </w:pPr>
    </w:lvl>
    <w:lvl w:ilvl="1" w:tplc="040C0019" w:tentative="1">
      <w:start w:val="1"/>
      <w:numFmt w:val="lowerLetter"/>
      <w:lvlText w:val="%2."/>
      <w:lvlJc w:val="left"/>
      <w:pPr>
        <w:tabs>
          <w:tab w:val="num" w:pos="1080"/>
        </w:tabs>
        <w:ind w:left="1080" w:hanging="360"/>
      </w:pPr>
    </w:lvl>
    <w:lvl w:ilvl="2" w:tplc="040C001B" w:tentative="1">
      <w:start w:val="1"/>
      <w:numFmt w:val="lowerRoman"/>
      <w:lvlText w:val="%3."/>
      <w:lvlJc w:val="right"/>
      <w:pPr>
        <w:tabs>
          <w:tab w:val="num" w:pos="1800"/>
        </w:tabs>
        <w:ind w:left="1800" w:hanging="180"/>
      </w:pPr>
    </w:lvl>
    <w:lvl w:ilvl="3" w:tplc="040C000F" w:tentative="1">
      <w:start w:val="1"/>
      <w:numFmt w:val="decimal"/>
      <w:lvlText w:val="%4."/>
      <w:lvlJc w:val="left"/>
      <w:pPr>
        <w:tabs>
          <w:tab w:val="num" w:pos="2520"/>
        </w:tabs>
        <w:ind w:left="2520" w:hanging="360"/>
      </w:pPr>
    </w:lvl>
    <w:lvl w:ilvl="4" w:tplc="040C0019" w:tentative="1">
      <w:start w:val="1"/>
      <w:numFmt w:val="lowerLetter"/>
      <w:lvlText w:val="%5."/>
      <w:lvlJc w:val="left"/>
      <w:pPr>
        <w:tabs>
          <w:tab w:val="num" w:pos="3240"/>
        </w:tabs>
        <w:ind w:left="3240" w:hanging="360"/>
      </w:pPr>
    </w:lvl>
    <w:lvl w:ilvl="5" w:tplc="040C001B" w:tentative="1">
      <w:start w:val="1"/>
      <w:numFmt w:val="lowerRoman"/>
      <w:lvlText w:val="%6."/>
      <w:lvlJc w:val="right"/>
      <w:pPr>
        <w:tabs>
          <w:tab w:val="num" w:pos="3960"/>
        </w:tabs>
        <w:ind w:left="3960" w:hanging="180"/>
      </w:pPr>
    </w:lvl>
    <w:lvl w:ilvl="6" w:tplc="040C000F" w:tentative="1">
      <w:start w:val="1"/>
      <w:numFmt w:val="decimal"/>
      <w:lvlText w:val="%7."/>
      <w:lvlJc w:val="left"/>
      <w:pPr>
        <w:tabs>
          <w:tab w:val="num" w:pos="4680"/>
        </w:tabs>
        <w:ind w:left="4680" w:hanging="360"/>
      </w:pPr>
    </w:lvl>
    <w:lvl w:ilvl="7" w:tplc="040C0019" w:tentative="1">
      <w:start w:val="1"/>
      <w:numFmt w:val="lowerLetter"/>
      <w:lvlText w:val="%8."/>
      <w:lvlJc w:val="left"/>
      <w:pPr>
        <w:tabs>
          <w:tab w:val="num" w:pos="5400"/>
        </w:tabs>
        <w:ind w:left="5400" w:hanging="360"/>
      </w:pPr>
    </w:lvl>
    <w:lvl w:ilvl="8" w:tplc="040C001B" w:tentative="1">
      <w:start w:val="1"/>
      <w:numFmt w:val="lowerRoman"/>
      <w:lvlText w:val="%9."/>
      <w:lvlJc w:val="right"/>
      <w:pPr>
        <w:tabs>
          <w:tab w:val="num" w:pos="6120"/>
        </w:tabs>
        <w:ind w:left="6120" w:hanging="180"/>
      </w:pPr>
    </w:lvl>
  </w:abstractNum>
  <w:abstractNum w:abstractNumId="10" w15:restartNumberingAfterBreak="0">
    <w:nsid w:val="227815E6"/>
    <w:multiLevelType w:val="hybridMultilevel"/>
    <w:tmpl w:val="B73E518E"/>
    <w:lvl w:ilvl="0" w:tplc="FF5E7284">
      <w:start w:val="1"/>
      <w:numFmt w:val="lowerLetter"/>
      <w:lvlText w:val="%1."/>
      <w:lvlJc w:val="left"/>
      <w:pPr>
        <w:tabs>
          <w:tab w:val="num" w:pos="2520"/>
        </w:tabs>
        <w:ind w:left="2520" w:hanging="360"/>
      </w:pPr>
      <w:rPr>
        <w:rFonts w:hint="default"/>
      </w:rPr>
    </w:lvl>
    <w:lvl w:ilvl="1" w:tplc="040C0019">
      <w:start w:val="1"/>
      <w:numFmt w:val="lowerLetter"/>
      <w:lvlText w:val="%2."/>
      <w:lvlJc w:val="left"/>
      <w:pPr>
        <w:tabs>
          <w:tab w:val="num" w:pos="2520"/>
        </w:tabs>
        <w:ind w:left="2520" w:hanging="360"/>
      </w:pPr>
    </w:lvl>
    <w:lvl w:ilvl="2" w:tplc="040C001B" w:tentative="1">
      <w:start w:val="1"/>
      <w:numFmt w:val="lowerRoman"/>
      <w:lvlText w:val="%3."/>
      <w:lvlJc w:val="right"/>
      <w:pPr>
        <w:tabs>
          <w:tab w:val="num" w:pos="3240"/>
        </w:tabs>
        <w:ind w:left="3240" w:hanging="180"/>
      </w:pPr>
    </w:lvl>
    <w:lvl w:ilvl="3" w:tplc="040C000F" w:tentative="1">
      <w:start w:val="1"/>
      <w:numFmt w:val="decimal"/>
      <w:lvlText w:val="%4."/>
      <w:lvlJc w:val="left"/>
      <w:pPr>
        <w:tabs>
          <w:tab w:val="num" w:pos="3960"/>
        </w:tabs>
        <w:ind w:left="3960" w:hanging="360"/>
      </w:pPr>
    </w:lvl>
    <w:lvl w:ilvl="4" w:tplc="040C0019" w:tentative="1">
      <w:start w:val="1"/>
      <w:numFmt w:val="lowerLetter"/>
      <w:lvlText w:val="%5."/>
      <w:lvlJc w:val="left"/>
      <w:pPr>
        <w:tabs>
          <w:tab w:val="num" w:pos="4680"/>
        </w:tabs>
        <w:ind w:left="4680" w:hanging="360"/>
      </w:pPr>
    </w:lvl>
    <w:lvl w:ilvl="5" w:tplc="040C001B" w:tentative="1">
      <w:start w:val="1"/>
      <w:numFmt w:val="lowerRoman"/>
      <w:lvlText w:val="%6."/>
      <w:lvlJc w:val="right"/>
      <w:pPr>
        <w:tabs>
          <w:tab w:val="num" w:pos="5400"/>
        </w:tabs>
        <w:ind w:left="5400" w:hanging="180"/>
      </w:pPr>
    </w:lvl>
    <w:lvl w:ilvl="6" w:tplc="040C000F" w:tentative="1">
      <w:start w:val="1"/>
      <w:numFmt w:val="decimal"/>
      <w:lvlText w:val="%7."/>
      <w:lvlJc w:val="left"/>
      <w:pPr>
        <w:tabs>
          <w:tab w:val="num" w:pos="6120"/>
        </w:tabs>
        <w:ind w:left="6120" w:hanging="360"/>
      </w:pPr>
    </w:lvl>
    <w:lvl w:ilvl="7" w:tplc="040C0019" w:tentative="1">
      <w:start w:val="1"/>
      <w:numFmt w:val="lowerLetter"/>
      <w:lvlText w:val="%8."/>
      <w:lvlJc w:val="left"/>
      <w:pPr>
        <w:tabs>
          <w:tab w:val="num" w:pos="6840"/>
        </w:tabs>
        <w:ind w:left="6840" w:hanging="360"/>
      </w:pPr>
    </w:lvl>
    <w:lvl w:ilvl="8" w:tplc="040C001B" w:tentative="1">
      <w:start w:val="1"/>
      <w:numFmt w:val="lowerRoman"/>
      <w:lvlText w:val="%9."/>
      <w:lvlJc w:val="right"/>
      <w:pPr>
        <w:tabs>
          <w:tab w:val="num" w:pos="7560"/>
        </w:tabs>
        <w:ind w:left="7560" w:hanging="180"/>
      </w:pPr>
    </w:lvl>
  </w:abstractNum>
  <w:abstractNum w:abstractNumId="11" w15:restartNumberingAfterBreak="0">
    <w:nsid w:val="24074F61"/>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47A211A"/>
    <w:multiLevelType w:val="hybridMultilevel"/>
    <w:tmpl w:val="87B49C8C"/>
    <w:lvl w:ilvl="0" w:tplc="AC6AE1E6">
      <w:start w:val="1"/>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704044C"/>
    <w:multiLevelType w:val="multilevel"/>
    <w:tmpl w:val="FAFEA166"/>
    <w:lvl w:ilvl="0">
      <w:start w:val="6"/>
      <w:numFmt w:val="decimal"/>
      <w:lvlText w:val="%1."/>
      <w:lvlJc w:val="left"/>
      <w:pPr>
        <w:tabs>
          <w:tab w:val="num" w:pos="397"/>
        </w:tabs>
        <w:ind w:left="397" w:hanging="397"/>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400"/>
        </w:tabs>
        <w:ind w:left="4320" w:hanging="1440"/>
      </w:pPr>
      <w:rPr>
        <w:rFonts w:hint="default"/>
      </w:rPr>
    </w:lvl>
  </w:abstractNum>
  <w:abstractNum w:abstractNumId="14" w15:restartNumberingAfterBreak="0">
    <w:nsid w:val="2E0C4686"/>
    <w:multiLevelType w:val="hybridMultilevel"/>
    <w:tmpl w:val="8190093A"/>
    <w:lvl w:ilvl="0" w:tplc="49383E26">
      <w:start w:val="1"/>
      <w:numFmt w:val="bullet"/>
      <w:lvlText w:val="o"/>
      <w:lvlJc w:val="left"/>
      <w:pPr>
        <w:tabs>
          <w:tab w:val="num" w:pos="720"/>
        </w:tabs>
        <w:ind w:left="720" w:hanging="360"/>
      </w:pPr>
      <w:rPr>
        <w:rFonts w:ascii="Courier New" w:hAnsi="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9D7F8A"/>
    <w:multiLevelType w:val="multilevel"/>
    <w:tmpl w:val="3558FAB6"/>
    <w:lvl w:ilvl="0">
      <w:start w:val="3"/>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color w:val="auto"/>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345B5649"/>
    <w:multiLevelType w:val="hybridMultilevel"/>
    <w:tmpl w:val="AED6E114"/>
    <w:lvl w:ilvl="0" w:tplc="890ABB80">
      <w:start w:val="2"/>
      <w:numFmt w:val="bullet"/>
      <w:lvlText w:val="-"/>
      <w:lvlJc w:val="left"/>
      <w:pPr>
        <w:tabs>
          <w:tab w:val="num" w:pos="720"/>
        </w:tabs>
        <w:ind w:left="720" w:hanging="360"/>
      </w:pPr>
      <w:rPr>
        <w:rFonts w:ascii="Tahoma" w:eastAsia="Times New Roman" w:hAnsi="Tahoma" w:cs="Tahoma" w:hint="default"/>
      </w:rPr>
    </w:lvl>
    <w:lvl w:ilvl="1" w:tplc="BF6E6984">
      <w:start w:val="3"/>
      <w:numFmt w:val="bullet"/>
      <w:lvlText w:val=""/>
      <w:lvlJc w:val="left"/>
      <w:pPr>
        <w:tabs>
          <w:tab w:val="num" w:pos="1440"/>
        </w:tabs>
        <w:ind w:left="1440" w:hanging="360"/>
      </w:pPr>
      <w:rPr>
        <w:rFonts w:ascii="Wingdings" w:eastAsia="Times New Roman" w:hAnsi="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4E57E3D"/>
    <w:multiLevelType w:val="hybridMultilevel"/>
    <w:tmpl w:val="69AA3E60"/>
    <w:lvl w:ilvl="0" w:tplc="D4D2F900">
      <w:start w:val="1"/>
      <w:numFmt w:val="bullet"/>
      <w:lvlText w:val=""/>
      <w:lvlJc w:val="left"/>
      <w:pPr>
        <w:tabs>
          <w:tab w:val="num" w:pos="720"/>
        </w:tabs>
        <w:ind w:left="720" w:hanging="360"/>
      </w:pPr>
      <w:rPr>
        <w:rFonts w:ascii="Symbol" w:hAnsi="Symbol" w:hint="default"/>
      </w:rPr>
    </w:lvl>
    <w:lvl w:ilvl="1" w:tplc="AC6AE1E6">
      <w:start w:val="1"/>
      <w:numFmt w:val="bullet"/>
      <w:lvlText w:val=""/>
      <w:lvlJc w:val="left"/>
      <w:pPr>
        <w:tabs>
          <w:tab w:val="num" w:pos="1440"/>
        </w:tabs>
        <w:ind w:left="1440" w:hanging="360"/>
      </w:pPr>
      <w:rPr>
        <w:rFonts w:ascii="Symbol" w:hAnsi="Symbol" w:hint="default"/>
        <w:color w:val="auto"/>
      </w:r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8" w15:restartNumberingAfterBreak="0">
    <w:nsid w:val="357100ED"/>
    <w:multiLevelType w:val="hybridMultilevel"/>
    <w:tmpl w:val="688A0FD2"/>
    <w:lvl w:ilvl="0" w:tplc="040C0005">
      <w:start w:val="1"/>
      <w:numFmt w:val="bullet"/>
      <w:lvlText w:val=""/>
      <w:lvlJc w:val="left"/>
      <w:pPr>
        <w:tabs>
          <w:tab w:val="num" w:pos="1080"/>
        </w:tabs>
        <w:ind w:left="1080" w:hanging="360"/>
      </w:pPr>
      <w:rPr>
        <w:rFonts w:ascii="Wingdings" w:hAnsi="Wingdings" w:hint="default"/>
      </w:rPr>
    </w:lvl>
    <w:lvl w:ilvl="1" w:tplc="040C0003" w:tentative="1">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38D756E5"/>
    <w:multiLevelType w:val="multilevel"/>
    <w:tmpl w:val="60E00882"/>
    <w:lvl w:ilvl="0">
      <w:start w:val="1"/>
      <w:numFmt w:val="decimal"/>
      <w:lvlText w:val="%1."/>
      <w:lvlJc w:val="left"/>
      <w:pPr>
        <w:tabs>
          <w:tab w:val="num" w:pos="720"/>
        </w:tabs>
        <w:ind w:left="720" w:hanging="360"/>
      </w:pPr>
      <w:rPr>
        <w:rFonts w:hint="default"/>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20" w15:restartNumberingAfterBreak="0">
    <w:nsid w:val="3D692442"/>
    <w:multiLevelType w:val="hybridMultilevel"/>
    <w:tmpl w:val="77C08E04"/>
    <w:lvl w:ilvl="0" w:tplc="AC6AE1E6">
      <w:start w:val="1"/>
      <w:numFmt w:val="bullet"/>
      <w:lvlText w:val=""/>
      <w:lvlJc w:val="left"/>
      <w:pPr>
        <w:tabs>
          <w:tab w:val="num" w:pos="1440"/>
        </w:tabs>
        <w:ind w:left="1440" w:hanging="360"/>
      </w:pPr>
      <w:rPr>
        <w:rFonts w:ascii="Symbol" w:hAnsi="Symbol" w:hint="default"/>
        <w:color w:val="auto"/>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3F55676E"/>
    <w:multiLevelType w:val="hybridMultilevel"/>
    <w:tmpl w:val="E38CEF58"/>
    <w:lvl w:ilvl="0" w:tplc="85B4E7D2">
      <w:start w:val="1080"/>
      <w:numFmt w:val="bullet"/>
      <w:lvlText w:val="-"/>
      <w:lvlJc w:val="left"/>
      <w:pPr>
        <w:tabs>
          <w:tab w:val="num" w:pos="720"/>
        </w:tabs>
        <w:ind w:left="720" w:hanging="360"/>
      </w:pPr>
      <w:rPr>
        <w:rFonts w:ascii="Georgia" w:eastAsia="Times New Roman" w:hAnsi="Georgia"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35E25A0"/>
    <w:multiLevelType w:val="hybridMultilevel"/>
    <w:tmpl w:val="6A78E93A"/>
    <w:lvl w:ilvl="0" w:tplc="AC06D11E">
      <w:start w:val="1"/>
      <w:numFmt w:val="lowerLetter"/>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3" w15:restartNumberingAfterBreak="0">
    <w:nsid w:val="457306DA"/>
    <w:multiLevelType w:val="hybridMultilevel"/>
    <w:tmpl w:val="1AFCAE8E"/>
    <w:lvl w:ilvl="0" w:tplc="AE7EB252">
      <w:start w:val="1"/>
      <w:numFmt w:val="bullet"/>
      <w:lvlText w:val="o"/>
      <w:lvlJc w:val="left"/>
      <w:pPr>
        <w:tabs>
          <w:tab w:val="num" w:pos="720"/>
        </w:tabs>
        <w:ind w:left="720" w:hanging="360"/>
      </w:pPr>
      <w:rPr>
        <w:rFonts w:ascii="Courier New" w:hAnsi="Courier New"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9661442"/>
    <w:multiLevelType w:val="hybridMultilevel"/>
    <w:tmpl w:val="04FEF2C0"/>
    <w:lvl w:ilvl="0" w:tplc="AC6AE1E6">
      <w:start w:val="1"/>
      <w:numFmt w:val="bullet"/>
      <w:lvlText w:val=""/>
      <w:lvlJc w:val="left"/>
      <w:pPr>
        <w:tabs>
          <w:tab w:val="num" w:pos="360"/>
        </w:tabs>
        <w:ind w:left="360" w:hanging="360"/>
      </w:pPr>
      <w:rPr>
        <w:rFonts w:ascii="Symbol" w:hAnsi="Symbol" w:hint="default"/>
        <w:color w:val="auto"/>
      </w:rPr>
    </w:lvl>
    <w:lvl w:ilvl="1" w:tplc="040C0003">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4970144B"/>
    <w:multiLevelType w:val="hybridMultilevel"/>
    <w:tmpl w:val="9F8EA028"/>
    <w:lvl w:ilvl="0" w:tplc="28024C04">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 w15:restartNumberingAfterBreak="0">
    <w:nsid w:val="4B90186D"/>
    <w:multiLevelType w:val="hybridMultilevel"/>
    <w:tmpl w:val="CBBC7E46"/>
    <w:lvl w:ilvl="0" w:tplc="E97491D2">
      <w:start w:val="2"/>
      <w:numFmt w:val="lowerLetter"/>
      <w:lvlText w:val="%1."/>
      <w:lvlJc w:val="left"/>
      <w:pPr>
        <w:tabs>
          <w:tab w:val="num" w:pos="720"/>
        </w:tabs>
        <w:ind w:left="720" w:hanging="360"/>
      </w:pPr>
      <w:rPr>
        <w:rFonts w:hint="default"/>
      </w:rPr>
    </w:lvl>
    <w:lvl w:ilvl="1" w:tplc="5C30F1D6">
      <w:numFmt w:val="none"/>
      <w:lvlText w:val=""/>
      <w:lvlJc w:val="left"/>
      <w:pPr>
        <w:tabs>
          <w:tab w:val="num" w:pos="360"/>
        </w:tabs>
      </w:pPr>
    </w:lvl>
    <w:lvl w:ilvl="2" w:tplc="32123786">
      <w:numFmt w:val="none"/>
      <w:lvlText w:val=""/>
      <w:lvlJc w:val="left"/>
      <w:pPr>
        <w:tabs>
          <w:tab w:val="num" w:pos="360"/>
        </w:tabs>
      </w:pPr>
    </w:lvl>
    <w:lvl w:ilvl="3" w:tplc="910E6EEC">
      <w:numFmt w:val="none"/>
      <w:lvlText w:val=""/>
      <w:lvlJc w:val="left"/>
      <w:pPr>
        <w:tabs>
          <w:tab w:val="num" w:pos="360"/>
        </w:tabs>
      </w:pPr>
    </w:lvl>
    <w:lvl w:ilvl="4" w:tplc="BEEAA948">
      <w:numFmt w:val="none"/>
      <w:lvlText w:val=""/>
      <w:lvlJc w:val="left"/>
      <w:pPr>
        <w:tabs>
          <w:tab w:val="num" w:pos="360"/>
        </w:tabs>
      </w:pPr>
    </w:lvl>
    <w:lvl w:ilvl="5" w:tplc="D87EEE10">
      <w:numFmt w:val="none"/>
      <w:lvlText w:val=""/>
      <w:lvlJc w:val="left"/>
      <w:pPr>
        <w:tabs>
          <w:tab w:val="num" w:pos="360"/>
        </w:tabs>
      </w:pPr>
    </w:lvl>
    <w:lvl w:ilvl="6" w:tplc="6D0E4544">
      <w:numFmt w:val="none"/>
      <w:lvlText w:val=""/>
      <w:lvlJc w:val="left"/>
      <w:pPr>
        <w:tabs>
          <w:tab w:val="num" w:pos="360"/>
        </w:tabs>
      </w:pPr>
    </w:lvl>
    <w:lvl w:ilvl="7" w:tplc="B5C83970">
      <w:numFmt w:val="none"/>
      <w:lvlText w:val=""/>
      <w:lvlJc w:val="left"/>
      <w:pPr>
        <w:tabs>
          <w:tab w:val="num" w:pos="360"/>
        </w:tabs>
      </w:pPr>
    </w:lvl>
    <w:lvl w:ilvl="8" w:tplc="DAE03C5A">
      <w:numFmt w:val="none"/>
      <w:lvlText w:val=""/>
      <w:lvlJc w:val="left"/>
      <w:pPr>
        <w:tabs>
          <w:tab w:val="num" w:pos="360"/>
        </w:tabs>
      </w:pPr>
    </w:lvl>
  </w:abstractNum>
  <w:abstractNum w:abstractNumId="27" w15:restartNumberingAfterBreak="0">
    <w:nsid w:val="4C813693"/>
    <w:multiLevelType w:val="hybridMultilevel"/>
    <w:tmpl w:val="EE524FC2"/>
    <w:lvl w:ilvl="0" w:tplc="D4D2F900">
      <w:start w:val="1"/>
      <w:numFmt w:val="bullet"/>
      <w:lvlText w:val=""/>
      <w:lvlJc w:val="left"/>
      <w:pPr>
        <w:tabs>
          <w:tab w:val="num" w:pos="1136"/>
        </w:tabs>
        <w:ind w:left="1136" w:hanging="360"/>
      </w:pPr>
      <w:rPr>
        <w:rFonts w:ascii="Symbol" w:hAnsi="Symbol" w:hint="default"/>
      </w:rPr>
    </w:lvl>
    <w:lvl w:ilvl="1" w:tplc="040C0003" w:tentative="1">
      <w:start w:val="1"/>
      <w:numFmt w:val="bullet"/>
      <w:lvlText w:val="o"/>
      <w:lvlJc w:val="left"/>
      <w:pPr>
        <w:ind w:left="1496" w:hanging="360"/>
      </w:pPr>
      <w:rPr>
        <w:rFonts w:ascii="Courier New" w:hAnsi="Courier New" w:cs="Courier New" w:hint="default"/>
      </w:rPr>
    </w:lvl>
    <w:lvl w:ilvl="2" w:tplc="040C0005" w:tentative="1">
      <w:start w:val="1"/>
      <w:numFmt w:val="bullet"/>
      <w:lvlText w:val=""/>
      <w:lvlJc w:val="left"/>
      <w:pPr>
        <w:ind w:left="2216" w:hanging="360"/>
      </w:pPr>
      <w:rPr>
        <w:rFonts w:ascii="Wingdings" w:hAnsi="Wingdings" w:hint="default"/>
      </w:rPr>
    </w:lvl>
    <w:lvl w:ilvl="3" w:tplc="040C0001" w:tentative="1">
      <w:start w:val="1"/>
      <w:numFmt w:val="bullet"/>
      <w:lvlText w:val=""/>
      <w:lvlJc w:val="left"/>
      <w:pPr>
        <w:ind w:left="2936" w:hanging="360"/>
      </w:pPr>
      <w:rPr>
        <w:rFonts w:ascii="Symbol" w:hAnsi="Symbol" w:hint="default"/>
      </w:rPr>
    </w:lvl>
    <w:lvl w:ilvl="4" w:tplc="040C0003" w:tentative="1">
      <w:start w:val="1"/>
      <w:numFmt w:val="bullet"/>
      <w:lvlText w:val="o"/>
      <w:lvlJc w:val="left"/>
      <w:pPr>
        <w:ind w:left="3656" w:hanging="360"/>
      </w:pPr>
      <w:rPr>
        <w:rFonts w:ascii="Courier New" w:hAnsi="Courier New" w:cs="Courier New" w:hint="default"/>
      </w:rPr>
    </w:lvl>
    <w:lvl w:ilvl="5" w:tplc="040C0005" w:tentative="1">
      <w:start w:val="1"/>
      <w:numFmt w:val="bullet"/>
      <w:lvlText w:val=""/>
      <w:lvlJc w:val="left"/>
      <w:pPr>
        <w:ind w:left="4376" w:hanging="360"/>
      </w:pPr>
      <w:rPr>
        <w:rFonts w:ascii="Wingdings" w:hAnsi="Wingdings" w:hint="default"/>
      </w:rPr>
    </w:lvl>
    <w:lvl w:ilvl="6" w:tplc="040C0001" w:tentative="1">
      <w:start w:val="1"/>
      <w:numFmt w:val="bullet"/>
      <w:lvlText w:val=""/>
      <w:lvlJc w:val="left"/>
      <w:pPr>
        <w:ind w:left="5096" w:hanging="360"/>
      </w:pPr>
      <w:rPr>
        <w:rFonts w:ascii="Symbol" w:hAnsi="Symbol" w:hint="default"/>
      </w:rPr>
    </w:lvl>
    <w:lvl w:ilvl="7" w:tplc="040C0003" w:tentative="1">
      <w:start w:val="1"/>
      <w:numFmt w:val="bullet"/>
      <w:lvlText w:val="o"/>
      <w:lvlJc w:val="left"/>
      <w:pPr>
        <w:ind w:left="5816" w:hanging="360"/>
      </w:pPr>
      <w:rPr>
        <w:rFonts w:ascii="Courier New" w:hAnsi="Courier New" w:cs="Courier New" w:hint="default"/>
      </w:rPr>
    </w:lvl>
    <w:lvl w:ilvl="8" w:tplc="040C0005" w:tentative="1">
      <w:start w:val="1"/>
      <w:numFmt w:val="bullet"/>
      <w:lvlText w:val=""/>
      <w:lvlJc w:val="left"/>
      <w:pPr>
        <w:ind w:left="6536" w:hanging="360"/>
      </w:pPr>
      <w:rPr>
        <w:rFonts w:ascii="Wingdings" w:hAnsi="Wingdings" w:hint="default"/>
      </w:rPr>
    </w:lvl>
  </w:abstractNum>
  <w:abstractNum w:abstractNumId="28" w15:restartNumberingAfterBreak="0">
    <w:nsid w:val="4D3104E8"/>
    <w:multiLevelType w:val="hybridMultilevel"/>
    <w:tmpl w:val="873C711A"/>
    <w:lvl w:ilvl="0" w:tplc="A89E3A82">
      <w:start w:val="3"/>
      <w:numFmt w:val="lowerLetter"/>
      <w:lvlText w:val="%1."/>
      <w:lvlJc w:val="left"/>
      <w:pPr>
        <w:tabs>
          <w:tab w:val="num" w:pos="720"/>
        </w:tabs>
        <w:ind w:left="720" w:hanging="360"/>
      </w:pPr>
      <w:rPr>
        <w:rFonts w:hint="default"/>
      </w:rPr>
    </w:lvl>
    <w:lvl w:ilvl="1" w:tplc="AC6AE1E6">
      <w:start w:val="1"/>
      <w:numFmt w:val="bullet"/>
      <w:lvlText w:val=""/>
      <w:lvlJc w:val="left"/>
      <w:pPr>
        <w:tabs>
          <w:tab w:val="num" w:pos="1440"/>
        </w:tabs>
        <w:ind w:left="1440" w:hanging="360"/>
      </w:pPr>
      <w:rPr>
        <w:rFonts w:ascii="Symbol" w:hAnsi="Symbol" w:hint="default"/>
        <w:color w:val="auto"/>
      </w:rPr>
    </w:lvl>
    <w:lvl w:ilvl="2" w:tplc="6E727E76">
      <w:start w:val="1"/>
      <w:numFmt w:val="decimal"/>
      <w:lvlText w:val="%3."/>
      <w:lvlJc w:val="left"/>
      <w:pPr>
        <w:tabs>
          <w:tab w:val="num" w:pos="2340"/>
        </w:tabs>
        <w:ind w:left="2340" w:hanging="360"/>
      </w:pPr>
      <w:rPr>
        <w:rFonts w:hint="default"/>
      </w:r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9" w15:restartNumberingAfterBreak="0">
    <w:nsid w:val="4EB4211A"/>
    <w:multiLevelType w:val="multilevel"/>
    <w:tmpl w:val="040C001D"/>
    <w:styleLink w:val="Style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4EE73030"/>
    <w:multiLevelType w:val="hybridMultilevel"/>
    <w:tmpl w:val="9A240074"/>
    <w:lvl w:ilvl="0" w:tplc="7714D24A">
      <w:start w:val="1"/>
      <w:numFmt w:val="decimal"/>
      <w:lvlText w:val="%1."/>
      <w:lvlJc w:val="left"/>
      <w:pPr>
        <w:tabs>
          <w:tab w:val="num" w:pos="0"/>
        </w:tabs>
        <w:ind w:left="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1" w15:restartNumberingAfterBreak="0">
    <w:nsid w:val="5077356B"/>
    <w:multiLevelType w:val="hybridMultilevel"/>
    <w:tmpl w:val="FE42E9A6"/>
    <w:lvl w:ilvl="0" w:tplc="040C0015">
      <w:start w:val="1"/>
      <w:numFmt w:val="upperLetter"/>
      <w:lvlText w:val="%1."/>
      <w:lvlJc w:val="left"/>
      <w:pPr>
        <w:tabs>
          <w:tab w:val="num" w:pos="720"/>
        </w:tabs>
        <w:ind w:left="720" w:hanging="360"/>
      </w:pPr>
      <w:rPr>
        <w:rFonts w:hint="default"/>
      </w:rPr>
    </w:lvl>
    <w:lvl w:ilvl="1" w:tplc="0D48FA14">
      <w:start w:val="1"/>
      <w:numFmt w:val="decimal"/>
      <w:lvlText w:val="%2."/>
      <w:lvlJc w:val="left"/>
      <w:pPr>
        <w:tabs>
          <w:tab w:val="num" w:pos="1440"/>
        </w:tabs>
        <w:ind w:left="1440" w:hanging="360"/>
      </w:pPr>
      <w:rPr>
        <w:rFonts w:hint="default"/>
      </w:r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2" w15:restartNumberingAfterBreak="0">
    <w:nsid w:val="50D96580"/>
    <w:multiLevelType w:val="hybridMultilevel"/>
    <w:tmpl w:val="47366F96"/>
    <w:lvl w:ilvl="0" w:tplc="D4D2F900">
      <w:start w:val="1"/>
      <w:numFmt w:val="bullet"/>
      <w:lvlText w:val=""/>
      <w:lvlJc w:val="left"/>
      <w:pPr>
        <w:tabs>
          <w:tab w:val="num" w:pos="1080"/>
        </w:tabs>
        <w:ind w:left="108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33745480">
      <w:start w:val="1"/>
      <w:numFmt w:val="bullet"/>
      <w:lvlText w:val="-"/>
      <w:lvlJc w:val="left"/>
      <w:pPr>
        <w:ind w:left="2160" w:hanging="360"/>
      </w:pPr>
      <w:rPr>
        <w:rFonts w:ascii="Arial" w:eastAsia="Times New Roman" w:hAnsi="Arial" w:cs="Arial"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32C0CC0"/>
    <w:multiLevelType w:val="multilevel"/>
    <w:tmpl w:val="040C001D"/>
    <w:styleLink w:val="Style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610B3EB9"/>
    <w:multiLevelType w:val="multilevel"/>
    <w:tmpl w:val="040C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5" w15:restartNumberingAfterBreak="0">
    <w:nsid w:val="62C577FC"/>
    <w:multiLevelType w:val="multilevel"/>
    <w:tmpl w:val="9868491C"/>
    <w:lvl w:ilvl="0">
      <w:start w:val="1"/>
      <w:numFmt w:val="bullet"/>
      <w:lvlText w:val=""/>
      <w:lvlJc w:val="left"/>
      <w:pPr>
        <w:tabs>
          <w:tab w:val="num" w:pos="1080"/>
        </w:tabs>
        <w:ind w:left="1080" w:hanging="360"/>
      </w:pPr>
      <w:rPr>
        <w:rFonts w:ascii="Wingdings" w:hAnsi="Wingdings" w:hint="default"/>
      </w:rPr>
    </w:lvl>
    <w:lvl w:ilvl="1">
      <w:start w:val="1"/>
      <w:numFmt w:val="lowerLetter"/>
      <w:lvlText w:val="%2."/>
      <w:lvlJc w:val="left"/>
      <w:pPr>
        <w:tabs>
          <w:tab w:val="num" w:pos="1800"/>
        </w:tabs>
        <w:ind w:left="1800" w:hanging="360"/>
      </w:pPr>
      <w:rPr>
        <w:rFonts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36" w15:restartNumberingAfterBreak="0">
    <w:nsid w:val="635049CA"/>
    <w:multiLevelType w:val="multilevel"/>
    <w:tmpl w:val="040C0023"/>
    <w:lvl w:ilvl="0">
      <w:start w:val="1"/>
      <w:numFmt w:val="upperRoman"/>
      <w:pStyle w:val="Titre1"/>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7" w15:restartNumberingAfterBreak="0">
    <w:nsid w:val="64420697"/>
    <w:multiLevelType w:val="multilevel"/>
    <w:tmpl w:val="040C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8" w15:restartNumberingAfterBreak="0">
    <w:nsid w:val="64694FA2"/>
    <w:multiLevelType w:val="hybridMultilevel"/>
    <w:tmpl w:val="A4B2C48E"/>
    <w:lvl w:ilvl="0" w:tplc="AC6AE1E6">
      <w:start w:val="1"/>
      <w:numFmt w:val="bullet"/>
      <w:lvlText w:val=""/>
      <w:lvlJc w:val="left"/>
      <w:pPr>
        <w:tabs>
          <w:tab w:val="num" w:pos="1440"/>
        </w:tabs>
        <w:ind w:left="1440" w:hanging="360"/>
      </w:pPr>
      <w:rPr>
        <w:rFonts w:ascii="Symbol" w:hAnsi="Symbol" w:hint="default"/>
        <w:color w:val="auto"/>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39" w15:restartNumberingAfterBreak="0">
    <w:nsid w:val="64D33B24"/>
    <w:multiLevelType w:val="hybridMultilevel"/>
    <w:tmpl w:val="423E93BA"/>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40" w15:restartNumberingAfterBreak="0">
    <w:nsid w:val="66227433"/>
    <w:multiLevelType w:val="hybridMultilevel"/>
    <w:tmpl w:val="1E644CC6"/>
    <w:lvl w:ilvl="0" w:tplc="040C000F">
      <w:start w:val="1"/>
      <w:numFmt w:val="decimal"/>
      <w:lvlText w:val="%1."/>
      <w:lvlJc w:val="left"/>
      <w:pPr>
        <w:tabs>
          <w:tab w:val="num" w:pos="1080"/>
        </w:tabs>
        <w:ind w:left="1080" w:hanging="360"/>
      </w:pPr>
    </w:lvl>
    <w:lvl w:ilvl="1" w:tplc="040C0019" w:tentative="1">
      <w:start w:val="1"/>
      <w:numFmt w:val="lowerLetter"/>
      <w:lvlText w:val="%2."/>
      <w:lvlJc w:val="left"/>
      <w:pPr>
        <w:tabs>
          <w:tab w:val="num" w:pos="1800"/>
        </w:tabs>
        <w:ind w:left="1800" w:hanging="360"/>
      </w:pPr>
    </w:lvl>
    <w:lvl w:ilvl="2" w:tplc="040C001B" w:tentative="1">
      <w:start w:val="1"/>
      <w:numFmt w:val="lowerRoman"/>
      <w:lvlText w:val="%3."/>
      <w:lvlJc w:val="right"/>
      <w:pPr>
        <w:tabs>
          <w:tab w:val="num" w:pos="2520"/>
        </w:tabs>
        <w:ind w:left="2520" w:hanging="180"/>
      </w:pPr>
    </w:lvl>
    <w:lvl w:ilvl="3" w:tplc="040C000F" w:tentative="1">
      <w:start w:val="1"/>
      <w:numFmt w:val="decimal"/>
      <w:lvlText w:val="%4."/>
      <w:lvlJc w:val="left"/>
      <w:pPr>
        <w:tabs>
          <w:tab w:val="num" w:pos="3240"/>
        </w:tabs>
        <w:ind w:left="3240" w:hanging="360"/>
      </w:pPr>
    </w:lvl>
    <w:lvl w:ilvl="4" w:tplc="040C0019" w:tentative="1">
      <w:start w:val="1"/>
      <w:numFmt w:val="lowerLetter"/>
      <w:lvlText w:val="%5."/>
      <w:lvlJc w:val="left"/>
      <w:pPr>
        <w:tabs>
          <w:tab w:val="num" w:pos="3960"/>
        </w:tabs>
        <w:ind w:left="3960" w:hanging="360"/>
      </w:pPr>
    </w:lvl>
    <w:lvl w:ilvl="5" w:tplc="040C001B" w:tentative="1">
      <w:start w:val="1"/>
      <w:numFmt w:val="lowerRoman"/>
      <w:lvlText w:val="%6."/>
      <w:lvlJc w:val="right"/>
      <w:pPr>
        <w:tabs>
          <w:tab w:val="num" w:pos="4680"/>
        </w:tabs>
        <w:ind w:left="4680" w:hanging="180"/>
      </w:pPr>
    </w:lvl>
    <w:lvl w:ilvl="6" w:tplc="040C000F" w:tentative="1">
      <w:start w:val="1"/>
      <w:numFmt w:val="decimal"/>
      <w:lvlText w:val="%7."/>
      <w:lvlJc w:val="left"/>
      <w:pPr>
        <w:tabs>
          <w:tab w:val="num" w:pos="5400"/>
        </w:tabs>
        <w:ind w:left="5400" w:hanging="360"/>
      </w:pPr>
    </w:lvl>
    <w:lvl w:ilvl="7" w:tplc="040C0019" w:tentative="1">
      <w:start w:val="1"/>
      <w:numFmt w:val="lowerLetter"/>
      <w:lvlText w:val="%8."/>
      <w:lvlJc w:val="left"/>
      <w:pPr>
        <w:tabs>
          <w:tab w:val="num" w:pos="6120"/>
        </w:tabs>
        <w:ind w:left="6120" w:hanging="360"/>
      </w:pPr>
    </w:lvl>
    <w:lvl w:ilvl="8" w:tplc="040C001B" w:tentative="1">
      <w:start w:val="1"/>
      <w:numFmt w:val="lowerRoman"/>
      <w:lvlText w:val="%9."/>
      <w:lvlJc w:val="right"/>
      <w:pPr>
        <w:tabs>
          <w:tab w:val="num" w:pos="6840"/>
        </w:tabs>
        <w:ind w:left="6840" w:hanging="180"/>
      </w:pPr>
    </w:lvl>
  </w:abstractNum>
  <w:abstractNum w:abstractNumId="41" w15:restartNumberingAfterBreak="0">
    <w:nsid w:val="72836959"/>
    <w:multiLevelType w:val="multilevel"/>
    <w:tmpl w:val="CBBC7E46"/>
    <w:lvl w:ilvl="0">
      <w:start w:val="2"/>
      <w:numFmt w:val="lowerLetter"/>
      <w:lvlText w:val="%1."/>
      <w:lvlJc w:val="left"/>
      <w:pPr>
        <w:tabs>
          <w:tab w:val="num" w:pos="720"/>
        </w:tabs>
        <w:ind w:left="720" w:hanging="360"/>
      </w:pPr>
      <w:rPr>
        <w:rFonts w:hint="default"/>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42" w15:restartNumberingAfterBreak="0">
    <w:nsid w:val="78BD3D0A"/>
    <w:multiLevelType w:val="hybridMultilevel"/>
    <w:tmpl w:val="608E8D90"/>
    <w:lvl w:ilvl="0" w:tplc="FF5E7284">
      <w:start w:val="1"/>
      <w:numFmt w:val="lowerLetter"/>
      <w:lvlText w:val="%1."/>
      <w:lvlJc w:val="left"/>
      <w:pPr>
        <w:tabs>
          <w:tab w:val="num" w:pos="2160"/>
        </w:tabs>
        <w:ind w:left="2160" w:hanging="360"/>
      </w:pPr>
      <w:rPr>
        <w:rFonts w:hint="default"/>
      </w:rPr>
    </w:lvl>
    <w:lvl w:ilvl="1" w:tplc="040C0019">
      <w:start w:val="1"/>
      <w:numFmt w:val="lowerLetter"/>
      <w:lvlText w:val="%2."/>
      <w:lvlJc w:val="left"/>
      <w:pPr>
        <w:tabs>
          <w:tab w:val="num" w:pos="2160"/>
        </w:tabs>
        <w:ind w:left="2160" w:hanging="360"/>
      </w:pPr>
    </w:lvl>
    <w:lvl w:ilvl="2" w:tplc="AC6AE1E6">
      <w:start w:val="1"/>
      <w:numFmt w:val="bullet"/>
      <w:lvlText w:val=""/>
      <w:lvlJc w:val="left"/>
      <w:pPr>
        <w:tabs>
          <w:tab w:val="num" w:pos="3060"/>
        </w:tabs>
        <w:ind w:left="3060" w:hanging="360"/>
      </w:pPr>
      <w:rPr>
        <w:rFonts w:ascii="Symbol" w:hAnsi="Symbol" w:hint="default"/>
        <w:color w:val="auto"/>
      </w:rPr>
    </w:lvl>
    <w:lvl w:ilvl="3" w:tplc="040C000F" w:tentative="1">
      <w:start w:val="1"/>
      <w:numFmt w:val="decimal"/>
      <w:lvlText w:val="%4."/>
      <w:lvlJc w:val="left"/>
      <w:pPr>
        <w:tabs>
          <w:tab w:val="num" w:pos="3600"/>
        </w:tabs>
        <w:ind w:left="3600" w:hanging="360"/>
      </w:pPr>
    </w:lvl>
    <w:lvl w:ilvl="4" w:tplc="040C0019" w:tentative="1">
      <w:start w:val="1"/>
      <w:numFmt w:val="lowerLetter"/>
      <w:lvlText w:val="%5."/>
      <w:lvlJc w:val="left"/>
      <w:pPr>
        <w:tabs>
          <w:tab w:val="num" w:pos="4320"/>
        </w:tabs>
        <w:ind w:left="4320" w:hanging="360"/>
      </w:pPr>
    </w:lvl>
    <w:lvl w:ilvl="5" w:tplc="040C001B" w:tentative="1">
      <w:start w:val="1"/>
      <w:numFmt w:val="lowerRoman"/>
      <w:lvlText w:val="%6."/>
      <w:lvlJc w:val="right"/>
      <w:pPr>
        <w:tabs>
          <w:tab w:val="num" w:pos="5040"/>
        </w:tabs>
        <w:ind w:left="5040" w:hanging="180"/>
      </w:pPr>
    </w:lvl>
    <w:lvl w:ilvl="6" w:tplc="040C000F" w:tentative="1">
      <w:start w:val="1"/>
      <w:numFmt w:val="decimal"/>
      <w:lvlText w:val="%7."/>
      <w:lvlJc w:val="left"/>
      <w:pPr>
        <w:tabs>
          <w:tab w:val="num" w:pos="5760"/>
        </w:tabs>
        <w:ind w:left="5760" w:hanging="360"/>
      </w:pPr>
    </w:lvl>
    <w:lvl w:ilvl="7" w:tplc="040C0019" w:tentative="1">
      <w:start w:val="1"/>
      <w:numFmt w:val="lowerLetter"/>
      <w:lvlText w:val="%8."/>
      <w:lvlJc w:val="left"/>
      <w:pPr>
        <w:tabs>
          <w:tab w:val="num" w:pos="6480"/>
        </w:tabs>
        <w:ind w:left="6480" w:hanging="360"/>
      </w:pPr>
    </w:lvl>
    <w:lvl w:ilvl="8" w:tplc="040C001B" w:tentative="1">
      <w:start w:val="1"/>
      <w:numFmt w:val="lowerRoman"/>
      <w:lvlText w:val="%9."/>
      <w:lvlJc w:val="right"/>
      <w:pPr>
        <w:tabs>
          <w:tab w:val="num" w:pos="7200"/>
        </w:tabs>
        <w:ind w:left="7200" w:hanging="180"/>
      </w:pPr>
    </w:lvl>
  </w:abstractNum>
  <w:abstractNum w:abstractNumId="43" w15:restartNumberingAfterBreak="0">
    <w:nsid w:val="79267FA0"/>
    <w:multiLevelType w:val="hybridMultilevel"/>
    <w:tmpl w:val="CC8466DC"/>
    <w:lvl w:ilvl="0" w:tplc="AC6AE1E6">
      <w:start w:val="1"/>
      <w:numFmt w:val="bullet"/>
      <w:lvlText w:val=""/>
      <w:lvlJc w:val="left"/>
      <w:pPr>
        <w:tabs>
          <w:tab w:val="num" w:pos="720"/>
        </w:tabs>
        <w:ind w:left="720" w:hanging="360"/>
      </w:pPr>
      <w:rPr>
        <w:rFonts w:ascii="Symbol" w:hAnsi="Symbol" w:hint="default"/>
        <w:color w:val="auto"/>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A420DB3"/>
    <w:multiLevelType w:val="hybridMultilevel"/>
    <w:tmpl w:val="935A74F4"/>
    <w:lvl w:ilvl="0" w:tplc="040C0005">
      <w:start w:val="1"/>
      <w:numFmt w:val="bullet"/>
      <w:lvlText w:val=""/>
      <w:lvlJc w:val="left"/>
      <w:pPr>
        <w:tabs>
          <w:tab w:val="num" w:pos="1080"/>
        </w:tabs>
        <w:ind w:left="1080" w:hanging="360"/>
      </w:pPr>
      <w:rPr>
        <w:rFonts w:ascii="Wingdings" w:hAnsi="Wingdings" w:hint="default"/>
      </w:rPr>
    </w:lvl>
    <w:lvl w:ilvl="1" w:tplc="E97491D2">
      <w:start w:val="2"/>
      <w:numFmt w:val="lowerLetter"/>
      <w:lvlText w:val="%2."/>
      <w:lvlJc w:val="left"/>
      <w:pPr>
        <w:tabs>
          <w:tab w:val="num" w:pos="1080"/>
        </w:tabs>
        <w:ind w:left="1080" w:hanging="360"/>
      </w:pPr>
      <w:rPr>
        <w:rFonts w:hint="default"/>
      </w:rPr>
    </w:lvl>
    <w:lvl w:ilvl="2" w:tplc="040C0005">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45" w15:restartNumberingAfterBreak="0">
    <w:nsid w:val="7E0E2ABE"/>
    <w:multiLevelType w:val="multilevel"/>
    <w:tmpl w:val="0390E81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440"/>
        </w:tabs>
        <w:ind w:left="1440" w:hanging="360"/>
      </w:pPr>
      <w:rPr>
        <w:rFonts w:hint="default"/>
      </w:rPr>
    </w:lvl>
    <w:lvl w:ilvl="2">
      <w:start w:val="1"/>
      <w:numFmt w:val="decimal"/>
      <w:lvlText w:val="%1.%2.%3"/>
      <w:lvlJc w:val="left"/>
      <w:pPr>
        <w:tabs>
          <w:tab w:val="num" w:pos="2880"/>
        </w:tabs>
        <w:ind w:left="2880" w:hanging="720"/>
      </w:pPr>
      <w:rPr>
        <w:rFonts w:hint="default"/>
      </w:rPr>
    </w:lvl>
    <w:lvl w:ilvl="3">
      <w:start w:val="1"/>
      <w:numFmt w:val="decimal"/>
      <w:lvlText w:val="%1.%2.%3.%4"/>
      <w:lvlJc w:val="left"/>
      <w:pPr>
        <w:tabs>
          <w:tab w:val="num" w:pos="3960"/>
        </w:tabs>
        <w:ind w:left="3960" w:hanging="720"/>
      </w:pPr>
      <w:rPr>
        <w:rFonts w:hint="default"/>
      </w:rPr>
    </w:lvl>
    <w:lvl w:ilvl="4">
      <w:start w:val="1"/>
      <w:numFmt w:val="decimal"/>
      <w:lvlText w:val="%1.%2.%3.%4.%5"/>
      <w:lvlJc w:val="left"/>
      <w:pPr>
        <w:tabs>
          <w:tab w:val="num" w:pos="5400"/>
        </w:tabs>
        <w:ind w:left="5400" w:hanging="1080"/>
      </w:pPr>
      <w:rPr>
        <w:rFonts w:hint="default"/>
      </w:rPr>
    </w:lvl>
    <w:lvl w:ilvl="5">
      <w:start w:val="1"/>
      <w:numFmt w:val="decimal"/>
      <w:lvlText w:val="%1.%2.%3.%4.%5.%6"/>
      <w:lvlJc w:val="left"/>
      <w:pPr>
        <w:tabs>
          <w:tab w:val="num" w:pos="6480"/>
        </w:tabs>
        <w:ind w:left="6480" w:hanging="1080"/>
      </w:pPr>
      <w:rPr>
        <w:rFonts w:hint="default"/>
      </w:rPr>
    </w:lvl>
    <w:lvl w:ilvl="6">
      <w:start w:val="1"/>
      <w:numFmt w:val="decimal"/>
      <w:lvlText w:val="%1.%2.%3.%4.%5.%6.%7"/>
      <w:lvlJc w:val="left"/>
      <w:pPr>
        <w:tabs>
          <w:tab w:val="num" w:pos="7920"/>
        </w:tabs>
        <w:ind w:left="7920" w:hanging="1440"/>
      </w:pPr>
      <w:rPr>
        <w:rFonts w:hint="default"/>
      </w:rPr>
    </w:lvl>
    <w:lvl w:ilvl="7">
      <w:start w:val="1"/>
      <w:numFmt w:val="decimal"/>
      <w:lvlText w:val="%1.%2.%3.%4.%5.%6.%7.%8"/>
      <w:lvlJc w:val="left"/>
      <w:pPr>
        <w:tabs>
          <w:tab w:val="num" w:pos="9000"/>
        </w:tabs>
        <w:ind w:left="9000" w:hanging="1440"/>
      </w:pPr>
      <w:rPr>
        <w:rFonts w:hint="default"/>
      </w:rPr>
    </w:lvl>
    <w:lvl w:ilvl="8">
      <w:start w:val="1"/>
      <w:numFmt w:val="decimal"/>
      <w:lvlText w:val="%1.%2.%3.%4.%5.%6.%7.%8.%9"/>
      <w:lvlJc w:val="left"/>
      <w:pPr>
        <w:tabs>
          <w:tab w:val="num" w:pos="10440"/>
        </w:tabs>
        <w:ind w:left="10440" w:hanging="1800"/>
      </w:pPr>
      <w:rPr>
        <w:rFonts w:hint="default"/>
      </w:rPr>
    </w:lvl>
  </w:abstractNum>
  <w:num w:numId="1">
    <w:abstractNumId w:val="16"/>
  </w:num>
  <w:num w:numId="2">
    <w:abstractNumId w:val="5"/>
  </w:num>
  <w:num w:numId="3">
    <w:abstractNumId w:val="24"/>
  </w:num>
  <w:num w:numId="4">
    <w:abstractNumId w:val="6"/>
  </w:num>
  <w:num w:numId="5">
    <w:abstractNumId w:val="12"/>
  </w:num>
  <w:num w:numId="6">
    <w:abstractNumId w:val="11"/>
  </w:num>
  <w:num w:numId="7">
    <w:abstractNumId w:val="23"/>
  </w:num>
  <w:num w:numId="8">
    <w:abstractNumId w:val="44"/>
  </w:num>
  <w:num w:numId="9">
    <w:abstractNumId w:val="26"/>
  </w:num>
  <w:num w:numId="10">
    <w:abstractNumId w:val="13"/>
  </w:num>
  <w:num w:numId="11">
    <w:abstractNumId w:val="34"/>
  </w:num>
  <w:num w:numId="12">
    <w:abstractNumId w:val="36"/>
  </w:num>
  <w:num w:numId="13">
    <w:abstractNumId w:val="33"/>
  </w:num>
  <w:num w:numId="14">
    <w:abstractNumId w:val="29"/>
  </w:num>
  <w:num w:numId="15">
    <w:abstractNumId w:val="37"/>
  </w:num>
  <w:num w:numId="16">
    <w:abstractNumId w:val="30"/>
  </w:num>
  <w:num w:numId="17">
    <w:abstractNumId w:val="9"/>
  </w:num>
  <w:num w:numId="18">
    <w:abstractNumId w:val="43"/>
  </w:num>
  <w:num w:numId="19">
    <w:abstractNumId w:val="20"/>
  </w:num>
  <w:num w:numId="20">
    <w:abstractNumId w:val="38"/>
  </w:num>
  <w:num w:numId="21">
    <w:abstractNumId w:val="42"/>
  </w:num>
  <w:num w:numId="22">
    <w:abstractNumId w:val="10"/>
  </w:num>
  <w:num w:numId="23">
    <w:abstractNumId w:val="7"/>
  </w:num>
  <w:num w:numId="24">
    <w:abstractNumId w:val="35"/>
  </w:num>
  <w:num w:numId="25">
    <w:abstractNumId w:val="19"/>
  </w:num>
  <w:num w:numId="26">
    <w:abstractNumId w:val="41"/>
  </w:num>
  <w:num w:numId="27">
    <w:abstractNumId w:val="22"/>
  </w:num>
  <w:num w:numId="28">
    <w:abstractNumId w:val="1"/>
  </w:num>
  <w:num w:numId="29">
    <w:abstractNumId w:val="3"/>
  </w:num>
  <w:num w:numId="30">
    <w:abstractNumId w:val="28"/>
  </w:num>
  <w:num w:numId="31">
    <w:abstractNumId w:val="15"/>
  </w:num>
  <w:num w:numId="32">
    <w:abstractNumId w:val="17"/>
  </w:num>
  <w:num w:numId="33">
    <w:abstractNumId w:val="39"/>
  </w:num>
  <w:num w:numId="34">
    <w:abstractNumId w:val="40"/>
  </w:num>
  <w:num w:numId="35">
    <w:abstractNumId w:val="18"/>
  </w:num>
  <w:num w:numId="36">
    <w:abstractNumId w:val="32"/>
  </w:num>
  <w:num w:numId="37">
    <w:abstractNumId w:val="4"/>
  </w:num>
  <w:num w:numId="38">
    <w:abstractNumId w:val="27"/>
  </w:num>
  <w:num w:numId="39">
    <w:abstractNumId w:val="14"/>
  </w:num>
  <w:num w:numId="40">
    <w:abstractNumId w:val="0"/>
  </w:num>
  <w:num w:numId="41">
    <w:abstractNumId w:val="31"/>
  </w:num>
  <w:num w:numId="42">
    <w:abstractNumId w:val="45"/>
  </w:num>
  <w:num w:numId="43">
    <w:abstractNumId w:val="2"/>
  </w:num>
  <w:num w:numId="44">
    <w:abstractNumId w:val="21"/>
  </w:num>
  <w:num w:numId="45">
    <w:abstractNumId w:val="8"/>
  </w:num>
  <w:num w:numId="46">
    <w:abstractNumId w:val="25"/>
  </w:num>
  <w:num w:numId="4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B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9D867954-C3EE-4F64-B0B3-8DC1995DEF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BE" w:eastAsia="fr-B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fr-FR" w:eastAsia="fr-FR"/>
    </w:rPr>
  </w:style>
  <w:style w:type="paragraph" w:styleId="Titre1">
    <w:name w:val="heading 1"/>
    <w:basedOn w:val="Normal"/>
    <w:qFormat/>
    <w:pPr>
      <w:keepNext/>
      <w:numPr>
        <w:numId w:val="12"/>
      </w:numPr>
      <w:jc w:val="center"/>
      <w:outlineLvl w:val="0"/>
    </w:pPr>
    <w:rPr>
      <w:rFonts w:ascii="Century Schoolbook" w:hAnsi="Century Schoolbook"/>
      <w:b/>
      <w:bCs/>
      <w:color w:val="000000"/>
      <w:kern w:val="36"/>
      <w:sz w:val="28"/>
      <w:szCs w:val="28"/>
    </w:rPr>
  </w:style>
  <w:style w:type="paragraph" w:styleId="Titre2">
    <w:name w:val="heading 2"/>
    <w:basedOn w:val="Normal"/>
    <w:next w:val="Normal"/>
    <w:qFormat/>
    <w:pPr>
      <w:keepNext/>
      <w:spacing w:before="240" w:after="60"/>
      <w:outlineLvl w:val="1"/>
    </w:pPr>
    <w:rPr>
      <w:rFonts w:ascii="Arial" w:hAnsi="Arial" w:cs="Arial"/>
      <w:b/>
      <w:bCs/>
      <w:i/>
      <w:iCs/>
      <w:sz w:val="28"/>
      <w:szCs w:val="28"/>
    </w:rPr>
  </w:style>
  <w:style w:type="paragraph" w:styleId="Titre3">
    <w:name w:val="heading 3"/>
    <w:basedOn w:val="Normal"/>
    <w:next w:val="Normal"/>
    <w:qFormat/>
    <w:pPr>
      <w:keepNext/>
      <w:spacing w:before="240" w:after="60"/>
      <w:outlineLvl w:val="2"/>
    </w:pPr>
    <w:rPr>
      <w:rFonts w:ascii="Arial" w:hAnsi="Arial" w:cs="Arial"/>
      <w:b/>
      <w:bCs/>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2">
    <w:name w:val="Body Text 2"/>
    <w:basedOn w:val="Normal"/>
    <w:pPr>
      <w:jc w:val="center"/>
    </w:pPr>
    <w:rPr>
      <w:szCs w:val="20"/>
    </w:rPr>
  </w:style>
  <w:style w:type="paragraph" w:styleId="Normalcentr">
    <w:name w:val="Block Text"/>
    <w:basedOn w:val="Normal"/>
    <w:pPr>
      <w:spacing w:before="60"/>
      <w:ind w:left="357" w:right="357"/>
      <w:jc w:val="both"/>
    </w:pPr>
    <w:rPr>
      <w:sz w:val="22"/>
      <w:szCs w:val="20"/>
    </w:rPr>
  </w:style>
  <w:style w:type="paragraph" w:styleId="Pieddepage">
    <w:name w:val="footer"/>
    <w:basedOn w:val="Normal"/>
    <w:pPr>
      <w:tabs>
        <w:tab w:val="center" w:pos="4536"/>
        <w:tab w:val="right" w:pos="9072"/>
      </w:tabs>
    </w:pPr>
  </w:style>
  <w:style w:type="character" w:styleId="Numrodepage">
    <w:name w:val="page number"/>
    <w:basedOn w:val="Policepardfaut"/>
  </w:style>
  <w:style w:type="character" w:customStyle="1" w:styleId="highlightedsearchterm">
    <w:name w:val="highlightedsearchterm"/>
    <w:basedOn w:val="Policepardfaut"/>
  </w:style>
  <w:style w:type="table" w:styleId="Grilledutableau">
    <w:name w:val="Table Grid"/>
    <w:basedOn w:val="Tableau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centuation">
    <w:name w:val="Emphasis"/>
    <w:qFormat/>
    <w:rPr>
      <w:b/>
      <w:bCs/>
      <w:i w:val="0"/>
      <w:iCs w:val="0"/>
    </w:rPr>
  </w:style>
  <w:style w:type="paragraph" w:styleId="En-tte">
    <w:name w:val="header"/>
    <w:basedOn w:val="Normal"/>
    <w:pPr>
      <w:tabs>
        <w:tab w:val="center" w:pos="4536"/>
        <w:tab w:val="right" w:pos="9072"/>
      </w:tabs>
    </w:pPr>
  </w:style>
  <w:style w:type="numbering" w:styleId="111111">
    <w:name w:val="Outline List 2"/>
    <w:basedOn w:val="Aucuneliste"/>
    <w:pPr>
      <w:numPr>
        <w:numId w:val="11"/>
      </w:numPr>
    </w:pPr>
  </w:style>
  <w:style w:type="paragraph" w:styleId="Notedebasdepage">
    <w:name w:val="footnote text"/>
    <w:basedOn w:val="Normal"/>
    <w:semiHidden/>
    <w:rPr>
      <w:sz w:val="20"/>
      <w:szCs w:val="20"/>
    </w:rPr>
  </w:style>
  <w:style w:type="character" w:styleId="Appelnotedebasdep">
    <w:name w:val="footnote reference"/>
    <w:semiHidden/>
    <w:rPr>
      <w:vertAlign w:val="superscript"/>
    </w:rPr>
  </w:style>
  <w:style w:type="numbering" w:customStyle="1" w:styleId="Style1">
    <w:name w:val="Style1"/>
    <w:pPr>
      <w:numPr>
        <w:numId w:val="13"/>
      </w:numPr>
    </w:pPr>
  </w:style>
  <w:style w:type="numbering" w:customStyle="1" w:styleId="Style2">
    <w:name w:val="Style2"/>
    <w:pPr>
      <w:numPr>
        <w:numId w:val="14"/>
      </w:numPr>
    </w:pPr>
  </w:style>
  <w:style w:type="character" w:styleId="Marquedecommentaire">
    <w:name w:val="annotation reference"/>
    <w:semiHidden/>
    <w:rPr>
      <w:sz w:val="16"/>
      <w:szCs w:val="16"/>
    </w:rPr>
  </w:style>
  <w:style w:type="paragraph" w:styleId="Commentaire">
    <w:name w:val="annotation text"/>
    <w:basedOn w:val="Normal"/>
    <w:semiHidden/>
    <w:rPr>
      <w:sz w:val="20"/>
      <w:szCs w:val="20"/>
    </w:rPr>
  </w:style>
  <w:style w:type="paragraph" w:styleId="Textedebulles">
    <w:name w:val="Balloon Text"/>
    <w:basedOn w:val="Normal"/>
    <w:semiHidden/>
    <w:rPr>
      <w:rFonts w:ascii="Tahoma" w:hAnsi="Tahoma" w:cs="Tahoma"/>
      <w:sz w:val="16"/>
      <w:szCs w:val="16"/>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character" w:styleId="Lienhypertexte">
    <w:name w:val="Hyperlink"/>
    <w:basedOn w:val="Policepardfaut"/>
    <w:rPr>
      <w:color w:val="0000FF"/>
      <w:u w:val="single"/>
    </w:rPr>
  </w:style>
  <w:style w:type="character" w:customStyle="1" w:styleId="st1">
    <w:name w:val="st1"/>
    <w:basedOn w:val="Policepardfaut"/>
  </w:style>
  <w:style w:type="paragraph" w:styleId="Paragraphedeliste">
    <w:name w:val="List Paragraph"/>
    <w:basedOn w:val="Normal"/>
    <w:uiPriority w:val="34"/>
    <w:qFormat/>
    <w:pPr>
      <w:ind w:left="720"/>
      <w:contextualSpacing/>
    </w:pPr>
  </w:style>
  <w:style w:type="paragraph" w:styleId="Rvision">
    <w:name w:val="Revision"/>
    <w:hidden/>
    <w:uiPriority w:val="99"/>
    <w:semiHidden/>
    <w:rPr>
      <w:sz w:val="24"/>
      <w:szCs w:val="24"/>
      <w:lang w:val="fr-FR" w:eastAsia="fr-FR"/>
    </w:rPr>
  </w:style>
  <w:style w:type="paragraph" w:styleId="Notedefin">
    <w:name w:val="endnote text"/>
    <w:basedOn w:val="Normal"/>
    <w:link w:val="NotedefinCar"/>
    <w:semiHidden/>
    <w:unhideWhenUsed/>
    <w:rPr>
      <w:sz w:val="20"/>
      <w:szCs w:val="20"/>
    </w:rPr>
  </w:style>
  <w:style w:type="character" w:customStyle="1" w:styleId="NotedefinCar">
    <w:name w:val="Note de fin Car"/>
    <w:basedOn w:val="Policepardfaut"/>
    <w:link w:val="Notedefin"/>
    <w:semiHidden/>
    <w:rPr>
      <w:lang w:val="fr-FR" w:eastAsia="fr-FR"/>
    </w:rPr>
  </w:style>
  <w:style w:type="character" w:styleId="Appeldenotedefin">
    <w:name w:val="endnote reference"/>
    <w:basedOn w:val="Policepardfaut"/>
    <w:semiHidden/>
    <w:unhideWhenUs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8059184">
      <w:bodyDiv w:val="1"/>
      <w:marLeft w:val="125"/>
      <w:marRight w:val="125"/>
      <w:marTop w:val="125"/>
      <w:marBottom w:val="125"/>
      <w:divBdr>
        <w:top w:val="none" w:sz="0" w:space="0" w:color="auto"/>
        <w:left w:val="none" w:sz="0" w:space="0" w:color="auto"/>
        <w:bottom w:val="none" w:sz="0" w:space="0" w:color="auto"/>
        <w:right w:val="none" w:sz="0" w:space="0" w:color="auto"/>
      </w:divBdr>
      <w:divsChild>
        <w:div w:id="2064403098">
          <w:marLeft w:val="250"/>
          <w:marRight w:val="0"/>
          <w:marTop w:val="0"/>
          <w:marBottom w:val="0"/>
          <w:divBdr>
            <w:top w:val="none" w:sz="0" w:space="0" w:color="auto"/>
            <w:left w:val="none" w:sz="0" w:space="0" w:color="auto"/>
            <w:bottom w:val="none" w:sz="0" w:space="0" w:color="auto"/>
            <w:right w:val="none" w:sz="0" w:space="0" w:color="auto"/>
          </w:divBdr>
        </w:div>
      </w:divsChild>
    </w:div>
    <w:div w:id="397676946">
      <w:bodyDiv w:val="1"/>
      <w:marLeft w:val="0"/>
      <w:marRight w:val="0"/>
      <w:marTop w:val="0"/>
      <w:marBottom w:val="0"/>
      <w:divBdr>
        <w:top w:val="none" w:sz="0" w:space="0" w:color="auto"/>
        <w:left w:val="none" w:sz="0" w:space="0" w:color="auto"/>
        <w:bottom w:val="none" w:sz="0" w:space="0" w:color="auto"/>
        <w:right w:val="none" w:sz="0" w:space="0" w:color="auto"/>
      </w:divBdr>
    </w:div>
    <w:div w:id="568616904">
      <w:bodyDiv w:val="1"/>
      <w:marLeft w:val="0"/>
      <w:marRight w:val="0"/>
      <w:marTop w:val="0"/>
      <w:marBottom w:val="0"/>
      <w:divBdr>
        <w:top w:val="none" w:sz="0" w:space="0" w:color="auto"/>
        <w:left w:val="none" w:sz="0" w:space="0" w:color="auto"/>
        <w:bottom w:val="none" w:sz="0" w:space="0" w:color="auto"/>
        <w:right w:val="none" w:sz="0" w:space="0" w:color="auto"/>
      </w:divBdr>
      <w:divsChild>
        <w:div w:id="23016767">
          <w:marLeft w:val="0"/>
          <w:marRight w:val="0"/>
          <w:marTop w:val="0"/>
          <w:marBottom w:val="0"/>
          <w:divBdr>
            <w:top w:val="none" w:sz="0" w:space="0" w:color="auto"/>
            <w:left w:val="none" w:sz="0" w:space="0" w:color="auto"/>
            <w:bottom w:val="none" w:sz="0" w:space="0" w:color="auto"/>
            <w:right w:val="none" w:sz="0" w:space="0" w:color="auto"/>
          </w:divBdr>
        </w:div>
        <w:div w:id="563567052">
          <w:marLeft w:val="0"/>
          <w:marRight w:val="0"/>
          <w:marTop w:val="0"/>
          <w:marBottom w:val="0"/>
          <w:divBdr>
            <w:top w:val="none" w:sz="0" w:space="0" w:color="auto"/>
            <w:left w:val="none" w:sz="0" w:space="0" w:color="auto"/>
            <w:bottom w:val="none" w:sz="0" w:space="0" w:color="auto"/>
            <w:right w:val="none" w:sz="0" w:space="0" w:color="auto"/>
          </w:divBdr>
        </w:div>
        <w:div w:id="681322748">
          <w:marLeft w:val="0"/>
          <w:marRight w:val="0"/>
          <w:marTop w:val="0"/>
          <w:marBottom w:val="0"/>
          <w:divBdr>
            <w:top w:val="none" w:sz="0" w:space="0" w:color="auto"/>
            <w:left w:val="none" w:sz="0" w:space="0" w:color="auto"/>
            <w:bottom w:val="none" w:sz="0" w:space="0" w:color="auto"/>
            <w:right w:val="none" w:sz="0" w:space="0" w:color="auto"/>
          </w:divBdr>
        </w:div>
        <w:div w:id="1360355969">
          <w:marLeft w:val="0"/>
          <w:marRight w:val="0"/>
          <w:marTop w:val="0"/>
          <w:marBottom w:val="0"/>
          <w:divBdr>
            <w:top w:val="none" w:sz="0" w:space="0" w:color="auto"/>
            <w:left w:val="none" w:sz="0" w:space="0" w:color="auto"/>
            <w:bottom w:val="none" w:sz="0" w:space="0" w:color="auto"/>
            <w:right w:val="none" w:sz="0" w:space="0" w:color="auto"/>
          </w:divBdr>
        </w:div>
        <w:div w:id="1603299443">
          <w:marLeft w:val="0"/>
          <w:marRight w:val="0"/>
          <w:marTop w:val="0"/>
          <w:marBottom w:val="0"/>
          <w:divBdr>
            <w:top w:val="none" w:sz="0" w:space="0" w:color="auto"/>
            <w:left w:val="none" w:sz="0" w:space="0" w:color="auto"/>
            <w:bottom w:val="none" w:sz="0" w:space="0" w:color="auto"/>
            <w:right w:val="none" w:sz="0" w:space="0" w:color="auto"/>
          </w:divBdr>
        </w:div>
      </w:divsChild>
    </w:div>
    <w:div w:id="584144803">
      <w:bodyDiv w:val="1"/>
      <w:marLeft w:val="0"/>
      <w:marRight w:val="0"/>
      <w:marTop w:val="0"/>
      <w:marBottom w:val="0"/>
      <w:divBdr>
        <w:top w:val="none" w:sz="0" w:space="0" w:color="auto"/>
        <w:left w:val="none" w:sz="0" w:space="0" w:color="auto"/>
        <w:bottom w:val="none" w:sz="0" w:space="0" w:color="auto"/>
        <w:right w:val="none" w:sz="0" w:space="0" w:color="auto"/>
      </w:divBdr>
    </w:div>
    <w:div w:id="1219826703">
      <w:bodyDiv w:val="1"/>
      <w:marLeft w:val="0"/>
      <w:marRight w:val="0"/>
      <w:marTop w:val="0"/>
      <w:marBottom w:val="0"/>
      <w:divBdr>
        <w:top w:val="none" w:sz="0" w:space="0" w:color="auto"/>
        <w:left w:val="none" w:sz="0" w:space="0" w:color="auto"/>
        <w:bottom w:val="none" w:sz="0" w:space="0" w:color="auto"/>
        <w:right w:val="none" w:sz="0" w:space="0" w:color="auto"/>
      </w:divBdr>
      <w:divsChild>
        <w:div w:id="189072206">
          <w:marLeft w:val="0"/>
          <w:marRight w:val="0"/>
          <w:marTop w:val="0"/>
          <w:marBottom w:val="0"/>
          <w:divBdr>
            <w:top w:val="none" w:sz="0" w:space="0" w:color="auto"/>
            <w:left w:val="none" w:sz="0" w:space="0" w:color="auto"/>
            <w:bottom w:val="none" w:sz="0" w:space="0" w:color="auto"/>
            <w:right w:val="none" w:sz="0" w:space="0" w:color="auto"/>
          </w:divBdr>
        </w:div>
        <w:div w:id="196624332">
          <w:marLeft w:val="0"/>
          <w:marRight w:val="0"/>
          <w:marTop w:val="0"/>
          <w:marBottom w:val="0"/>
          <w:divBdr>
            <w:top w:val="none" w:sz="0" w:space="0" w:color="auto"/>
            <w:left w:val="none" w:sz="0" w:space="0" w:color="auto"/>
            <w:bottom w:val="none" w:sz="0" w:space="0" w:color="auto"/>
            <w:right w:val="none" w:sz="0" w:space="0" w:color="auto"/>
          </w:divBdr>
        </w:div>
        <w:div w:id="392197225">
          <w:marLeft w:val="0"/>
          <w:marRight w:val="0"/>
          <w:marTop w:val="0"/>
          <w:marBottom w:val="0"/>
          <w:divBdr>
            <w:top w:val="none" w:sz="0" w:space="0" w:color="auto"/>
            <w:left w:val="none" w:sz="0" w:space="0" w:color="auto"/>
            <w:bottom w:val="none" w:sz="0" w:space="0" w:color="auto"/>
            <w:right w:val="none" w:sz="0" w:space="0" w:color="auto"/>
          </w:divBdr>
        </w:div>
        <w:div w:id="410003085">
          <w:marLeft w:val="0"/>
          <w:marRight w:val="0"/>
          <w:marTop w:val="0"/>
          <w:marBottom w:val="0"/>
          <w:divBdr>
            <w:top w:val="none" w:sz="0" w:space="0" w:color="auto"/>
            <w:left w:val="none" w:sz="0" w:space="0" w:color="auto"/>
            <w:bottom w:val="none" w:sz="0" w:space="0" w:color="auto"/>
            <w:right w:val="none" w:sz="0" w:space="0" w:color="auto"/>
          </w:divBdr>
        </w:div>
        <w:div w:id="444345824">
          <w:marLeft w:val="0"/>
          <w:marRight w:val="0"/>
          <w:marTop w:val="0"/>
          <w:marBottom w:val="0"/>
          <w:divBdr>
            <w:top w:val="none" w:sz="0" w:space="0" w:color="auto"/>
            <w:left w:val="none" w:sz="0" w:space="0" w:color="auto"/>
            <w:bottom w:val="none" w:sz="0" w:space="0" w:color="auto"/>
            <w:right w:val="none" w:sz="0" w:space="0" w:color="auto"/>
          </w:divBdr>
        </w:div>
        <w:div w:id="459374093">
          <w:marLeft w:val="0"/>
          <w:marRight w:val="0"/>
          <w:marTop w:val="0"/>
          <w:marBottom w:val="0"/>
          <w:divBdr>
            <w:top w:val="none" w:sz="0" w:space="0" w:color="auto"/>
            <w:left w:val="none" w:sz="0" w:space="0" w:color="auto"/>
            <w:bottom w:val="none" w:sz="0" w:space="0" w:color="auto"/>
            <w:right w:val="none" w:sz="0" w:space="0" w:color="auto"/>
          </w:divBdr>
        </w:div>
        <w:div w:id="504369090">
          <w:marLeft w:val="0"/>
          <w:marRight w:val="0"/>
          <w:marTop w:val="0"/>
          <w:marBottom w:val="0"/>
          <w:divBdr>
            <w:top w:val="none" w:sz="0" w:space="0" w:color="auto"/>
            <w:left w:val="none" w:sz="0" w:space="0" w:color="auto"/>
            <w:bottom w:val="none" w:sz="0" w:space="0" w:color="auto"/>
            <w:right w:val="none" w:sz="0" w:space="0" w:color="auto"/>
          </w:divBdr>
        </w:div>
        <w:div w:id="1164276663">
          <w:marLeft w:val="0"/>
          <w:marRight w:val="0"/>
          <w:marTop w:val="0"/>
          <w:marBottom w:val="0"/>
          <w:divBdr>
            <w:top w:val="none" w:sz="0" w:space="0" w:color="auto"/>
            <w:left w:val="none" w:sz="0" w:space="0" w:color="auto"/>
            <w:bottom w:val="none" w:sz="0" w:space="0" w:color="auto"/>
            <w:right w:val="none" w:sz="0" w:space="0" w:color="auto"/>
          </w:divBdr>
        </w:div>
        <w:div w:id="1254363156">
          <w:marLeft w:val="0"/>
          <w:marRight w:val="0"/>
          <w:marTop w:val="0"/>
          <w:marBottom w:val="0"/>
          <w:divBdr>
            <w:top w:val="none" w:sz="0" w:space="0" w:color="auto"/>
            <w:left w:val="none" w:sz="0" w:space="0" w:color="auto"/>
            <w:bottom w:val="none" w:sz="0" w:space="0" w:color="auto"/>
            <w:right w:val="none" w:sz="0" w:space="0" w:color="auto"/>
          </w:divBdr>
        </w:div>
        <w:div w:id="1333337442">
          <w:marLeft w:val="0"/>
          <w:marRight w:val="0"/>
          <w:marTop w:val="0"/>
          <w:marBottom w:val="0"/>
          <w:divBdr>
            <w:top w:val="none" w:sz="0" w:space="0" w:color="auto"/>
            <w:left w:val="none" w:sz="0" w:space="0" w:color="auto"/>
            <w:bottom w:val="none" w:sz="0" w:space="0" w:color="auto"/>
            <w:right w:val="none" w:sz="0" w:space="0" w:color="auto"/>
          </w:divBdr>
        </w:div>
        <w:div w:id="1365255740">
          <w:marLeft w:val="0"/>
          <w:marRight w:val="0"/>
          <w:marTop w:val="0"/>
          <w:marBottom w:val="0"/>
          <w:divBdr>
            <w:top w:val="none" w:sz="0" w:space="0" w:color="auto"/>
            <w:left w:val="none" w:sz="0" w:space="0" w:color="auto"/>
            <w:bottom w:val="none" w:sz="0" w:space="0" w:color="auto"/>
            <w:right w:val="none" w:sz="0" w:space="0" w:color="auto"/>
          </w:divBdr>
        </w:div>
        <w:div w:id="1369530190">
          <w:marLeft w:val="0"/>
          <w:marRight w:val="0"/>
          <w:marTop w:val="0"/>
          <w:marBottom w:val="0"/>
          <w:divBdr>
            <w:top w:val="none" w:sz="0" w:space="0" w:color="auto"/>
            <w:left w:val="none" w:sz="0" w:space="0" w:color="auto"/>
            <w:bottom w:val="none" w:sz="0" w:space="0" w:color="auto"/>
            <w:right w:val="none" w:sz="0" w:space="0" w:color="auto"/>
          </w:divBdr>
        </w:div>
        <w:div w:id="1416316982">
          <w:marLeft w:val="0"/>
          <w:marRight w:val="0"/>
          <w:marTop w:val="0"/>
          <w:marBottom w:val="0"/>
          <w:divBdr>
            <w:top w:val="none" w:sz="0" w:space="0" w:color="auto"/>
            <w:left w:val="none" w:sz="0" w:space="0" w:color="auto"/>
            <w:bottom w:val="none" w:sz="0" w:space="0" w:color="auto"/>
            <w:right w:val="none" w:sz="0" w:space="0" w:color="auto"/>
          </w:divBdr>
        </w:div>
        <w:div w:id="1438283953">
          <w:marLeft w:val="0"/>
          <w:marRight w:val="0"/>
          <w:marTop w:val="0"/>
          <w:marBottom w:val="0"/>
          <w:divBdr>
            <w:top w:val="none" w:sz="0" w:space="0" w:color="auto"/>
            <w:left w:val="none" w:sz="0" w:space="0" w:color="auto"/>
            <w:bottom w:val="none" w:sz="0" w:space="0" w:color="auto"/>
            <w:right w:val="none" w:sz="0" w:space="0" w:color="auto"/>
          </w:divBdr>
        </w:div>
        <w:div w:id="1460224604">
          <w:marLeft w:val="0"/>
          <w:marRight w:val="0"/>
          <w:marTop w:val="0"/>
          <w:marBottom w:val="0"/>
          <w:divBdr>
            <w:top w:val="none" w:sz="0" w:space="0" w:color="auto"/>
            <w:left w:val="none" w:sz="0" w:space="0" w:color="auto"/>
            <w:bottom w:val="none" w:sz="0" w:space="0" w:color="auto"/>
            <w:right w:val="none" w:sz="0" w:space="0" w:color="auto"/>
          </w:divBdr>
        </w:div>
        <w:div w:id="1675185723">
          <w:marLeft w:val="0"/>
          <w:marRight w:val="0"/>
          <w:marTop w:val="0"/>
          <w:marBottom w:val="0"/>
          <w:divBdr>
            <w:top w:val="none" w:sz="0" w:space="0" w:color="auto"/>
            <w:left w:val="none" w:sz="0" w:space="0" w:color="auto"/>
            <w:bottom w:val="none" w:sz="0" w:space="0" w:color="auto"/>
            <w:right w:val="none" w:sz="0" w:space="0" w:color="auto"/>
          </w:divBdr>
        </w:div>
        <w:div w:id="1813013348">
          <w:marLeft w:val="0"/>
          <w:marRight w:val="0"/>
          <w:marTop w:val="0"/>
          <w:marBottom w:val="0"/>
          <w:divBdr>
            <w:top w:val="none" w:sz="0" w:space="0" w:color="auto"/>
            <w:left w:val="none" w:sz="0" w:space="0" w:color="auto"/>
            <w:bottom w:val="none" w:sz="0" w:space="0" w:color="auto"/>
            <w:right w:val="none" w:sz="0" w:space="0" w:color="auto"/>
          </w:divBdr>
        </w:div>
        <w:div w:id="1912422395">
          <w:marLeft w:val="0"/>
          <w:marRight w:val="0"/>
          <w:marTop w:val="0"/>
          <w:marBottom w:val="0"/>
          <w:divBdr>
            <w:top w:val="none" w:sz="0" w:space="0" w:color="auto"/>
            <w:left w:val="none" w:sz="0" w:space="0" w:color="auto"/>
            <w:bottom w:val="none" w:sz="0" w:space="0" w:color="auto"/>
            <w:right w:val="none" w:sz="0" w:space="0" w:color="auto"/>
          </w:divBdr>
        </w:div>
      </w:divsChild>
    </w:div>
    <w:div w:id="1518080967">
      <w:bodyDiv w:val="1"/>
      <w:marLeft w:val="0"/>
      <w:marRight w:val="0"/>
      <w:marTop w:val="0"/>
      <w:marBottom w:val="0"/>
      <w:divBdr>
        <w:top w:val="none" w:sz="0" w:space="0" w:color="auto"/>
        <w:left w:val="none" w:sz="0" w:space="0" w:color="auto"/>
        <w:bottom w:val="none" w:sz="0" w:space="0" w:color="auto"/>
        <w:right w:val="none" w:sz="0" w:space="0" w:color="auto"/>
      </w:divBdr>
      <w:divsChild>
        <w:div w:id="91171969">
          <w:marLeft w:val="0"/>
          <w:marRight w:val="0"/>
          <w:marTop w:val="0"/>
          <w:marBottom w:val="0"/>
          <w:divBdr>
            <w:top w:val="none" w:sz="0" w:space="0" w:color="auto"/>
            <w:left w:val="none" w:sz="0" w:space="0" w:color="auto"/>
            <w:bottom w:val="none" w:sz="0" w:space="0" w:color="auto"/>
            <w:right w:val="none" w:sz="0" w:space="0" w:color="auto"/>
          </w:divBdr>
        </w:div>
        <w:div w:id="409616809">
          <w:marLeft w:val="0"/>
          <w:marRight w:val="0"/>
          <w:marTop w:val="0"/>
          <w:marBottom w:val="0"/>
          <w:divBdr>
            <w:top w:val="none" w:sz="0" w:space="0" w:color="auto"/>
            <w:left w:val="none" w:sz="0" w:space="0" w:color="auto"/>
            <w:bottom w:val="none" w:sz="0" w:space="0" w:color="auto"/>
            <w:right w:val="none" w:sz="0" w:space="0" w:color="auto"/>
          </w:divBdr>
        </w:div>
        <w:div w:id="759328209">
          <w:marLeft w:val="0"/>
          <w:marRight w:val="0"/>
          <w:marTop w:val="0"/>
          <w:marBottom w:val="0"/>
          <w:divBdr>
            <w:top w:val="none" w:sz="0" w:space="0" w:color="auto"/>
            <w:left w:val="none" w:sz="0" w:space="0" w:color="auto"/>
            <w:bottom w:val="none" w:sz="0" w:space="0" w:color="auto"/>
            <w:right w:val="none" w:sz="0" w:space="0" w:color="auto"/>
          </w:divBdr>
        </w:div>
        <w:div w:id="860238755">
          <w:marLeft w:val="0"/>
          <w:marRight w:val="0"/>
          <w:marTop w:val="0"/>
          <w:marBottom w:val="0"/>
          <w:divBdr>
            <w:top w:val="none" w:sz="0" w:space="0" w:color="auto"/>
            <w:left w:val="none" w:sz="0" w:space="0" w:color="auto"/>
            <w:bottom w:val="none" w:sz="0" w:space="0" w:color="auto"/>
            <w:right w:val="none" w:sz="0" w:space="0" w:color="auto"/>
          </w:divBdr>
        </w:div>
        <w:div w:id="2122214288">
          <w:marLeft w:val="0"/>
          <w:marRight w:val="0"/>
          <w:marTop w:val="0"/>
          <w:marBottom w:val="0"/>
          <w:divBdr>
            <w:top w:val="none" w:sz="0" w:space="0" w:color="auto"/>
            <w:left w:val="none" w:sz="0" w:space="0" w:color="auto"/>
            <w:bottom w:val="none" w:sz="0" w:space="0" w:color="auto"/>
            <w:right w:val="none" w:sz="0" w:space="0" w:color="auto"/>
          </w:divBdr>
        </w:div>
      </w:divsChild>
    </w:div>
    <w:div w:id="1582761610">
      <w:bodyDiv w:val="1"/>
      <w:marLeft w:val="0"/>
      <w:marRight w:val="0"/>
      <w:marTop w:val="0"/>
      <w:marBottom w:val="0"/>
      <w:divBdr>
        <w:top w:val="none" w:sz="0" w:space="0" w:color="auto"/>
        <w:left w:val="none" w:sz="0" w:space="0" w:color="auto"/>
        <w:bottom w:val="none" w:sz="0" w:space="0" w:color="auto"/>
        <w:right w:val="none" w:sz="0" w:space="0" w:color="auto"/>
      </w:divBdr>
      <w:divsChild>
        <w:div w:id="222715126">
          <w:marLeft w:val="0"/>
          <w:marRight w:val="0"/>
          <w:marTop w:val="0"/>
          <w:marBottom w:val="0"/>
          <w:divBdr>
            <w:top w:val="none" w:sz="0" w:space="0" w:color="auto"/>
            <w:left w:val="none" w:sz="0" w:space="0" w:color="auto"/>
            <w:bottom w:val="none" w:sz="0" w:space="0" w:color="auto"/>
            <w:right w:val="none" w:sz="0" w:space="0" w:color="auto"/>
          </w:divBdr>
        </w:div>
        <w:div w:id="704411039">
          <w:marLeft w:val="0"/>
          <w:marRight w:val="0"/>
          <w:marTop w:val="0"/>
          <w:marBottom w:val="0"/>
          <w:divBdr>
            <w:top w:val="none" w:sz="0" w:space="0" w:color="auto"/>
            <w:left w:val="none" w:sz="0" w:space="0" w:color="auto"/>
            <w:bottom w:val="none" w:sz="0" w:space="0" w:color="auto"/>
            <w:right w:val="none" w:sz="0" w:space="0" w:color="auto"/>
          </w:divBdr>
        </w:div>
        <w:div w:id="804350256">
          <w:marLeft w:val="0"/>
          <w:marRight w:val="0"/>
          <w:marTop w:val="0"/>
          <w:marBottom w:val="0"/>
          <w:divBdr>
            <w:top w:val="none" w:sz="0" w:space="0" w:color="auto"/>
            <w:left w:val="none" w:sz="0" w:space="0" w:color="auto"/>
            <w:bottom w:val="none" w:sz="0" w:space="0" w:color="auto"/>
            <w:right w:val="none" w:sz="0" w:space="0" w:color="auto"/>
          </w:divBdr>
        </w:div>
        <w:div w:id="969357714">
          <w:marLeft w:val="0"/>
          <w:marRight w:val="0"/>
          <w:marTop w:val="0"/>
          <w:marBottom w:val="0"/>
          <w:divBdr>
            <w:top w:val="none" w:sz="0" w:space="0" w:color="auto"/>
            <w:left w:val="none" w:sz="0" w:space="0" w:color="auto"/>
            <w:bottom w:val="none" w:sz="0" w:space="0" w:color="auto"/>
            <w:right w:val="none" w:sz="0" w:space="0" w:color="auto"/>
          </w:divBdr>
        </w:div>
        <w:div w:id="1009912474">
          <w:marLeft w:val="0"/>
          <w:marRight w:val="0"/>
          <w:marTop w:val="0"/>
          <w:marBottom w:val="0"/>
          <w:divBdr>
            <w:top w:val="none" w:sz="0" w:space="0" w:color="auto"/>
            <w:left w:val="none" w:sz="0" w:space="0" w:color="auto"/>
            <w:bottom w:val="none" w:sz="0" w:space="0" w:color="auto"/>
            <w:right w:val="none" w:sz="0" w:space="0" w:color="auto"/>
          </w:divBdr>
        </w:div>
        <w:div w:id="1053969248">
          <w:marLeft w:val="0"/>
          <w:marRight w:val="0"/>
          <w:marTop w:val="0"/>
          <w:marBottom w:val="0"/>
          <w:divBdr>
            <w:top w:val="none" w:sz="0" w:space="0" w:color="auto"/>
            <w:left w:val="none" w:sz="0" w:space="0" w:color="auto"/>
            <w:bottom w:val="none" w:sz="0" w:space="0" w:color="auto"/>
            <w:right w:val="none" w:sz="0" w:space="0" w:color="auto"/>
          </w:divBdr>
        </w:div>
        <w:div w:id="1884630538">
          <w:marLeft w:val="0"/>
          <w:marRight w:val="0"/>
          <w:marTop w:val="0"/>
          <w:marBottom w:val="0"/>
          <w:divBdr>
            <w:top w:val="none" w:sz="0" w:space="0" w:color="auto"/>
            <w:left w:val="none" w:sz="0" w:space="0" w:color="auto"/>
            <w:bottom w:val="none" w:sz="0" w:space="0" w:color="auto"/>
            <w:right w:val="none" w:sz="0" w:space="0" w:color="auto"/>
          </w:divBdr>
        </w:div>
      </w:divsChild>
    </w:div>
    <w:div w:id="1895965694">
      <w:bodyDiv w:val="1"/>
      <w:marLeft w:val="0"/>
      <w:marRight w:val="0"/>
      <w:marTop w:val="0"/>
      <w:marBottom w:val="0"/>
      <w:divBdr>
        <w:top w:val="none" w:sz="0" w:space="0" w:color="auto"/>
        <w:left w:val="none" w:sz="0" w:space="0" w:color="auto"/>
        <w:bottom w:val="none" w:sz="0" w:space="0" w:color="auto"/>
        <w:right w:val="none" w:sz="0" w:space="0" w:color="auto"/>
      </w:divBdr>
      <w:divsChild>
        <w:div w:id="164055601">
          <w:marLeft w:val="0"/>
          <w:marRight w:val="0"/>
          <w:marTop w:val="0"/>
          <w:marBottom w:val="0"/>
          <w:divBdr>
            <w:top w:val="none" w:sz="0" w:space="0" w:color="auto"/>
            <w:left w:val="none" w:sz="0" w:space="0" w:color="auto"/>
            <w:bottom w:val="none" w:sz="0" w:space="0" w:color="auto"/>
            <w:right w:val="none" w:sz="0" w:space="0" w:color="auto"/>
          </w:divBdr>
        </w:div>
        <w:div w:id="408968804">
          <w:marLeft w:val="0"/>
          <w:marRight w:val="0"/>
          <w:marTop w:val="0"/>
          <w:marBottom w:val="0"/>
          <w:divBdr>
            <w:top w:val="none" w:sz="0" w:space="0" w:color="auto"/>
            <w:left w:val="none" w:sz="0" w:space="0" w:color="auto"/>
            <w:bottom w:val="none" w:sz="0" w:space="0" w:color="auto"/>
            <w:right w:val="none" w:sz="0" w:space="0" w:color="auto"/>
          </w:divBdr>
        </w:div>
        <w:div w:id="582227670">
          <w:marLeft w:val="0"/>
          <w:marRight w:val="0"/>
          <w:marTop w:val="0"/>
          <w:marBottom w:val="0"/>
          <w:divBdr>
            <w:top w:val="none" w:sz="0" w:space="0" w:color="auto"/>
            <w:left w:val="none" w:sz="0" w:space="0" w:color="auto"/>
            <w:bottom w:val="none" w:sz="0" w:space="0" w:color="auto"/>
            <w:right w:val="none" w:sz="0" w:space="0" w:color="auto"/>
          </w:divBdr>
        </w:div>
        <w:div w:id="625307808">
          <w:marLeft w:val="0"/>
          <w:marRight w:val="0"/>
          <w:marTop w:val="0"/>
          <w:marBottom w:val="0"/>
          <w:divBdr>
            <w:top w:val="none" w:sz="0" w:space="0" w:color="auto"/>
            <w:left w:val="none" w:sz="0" w:space="0" w:color="auto"/>
            <w:bottom w:val="none" w:sz="0" w:space="0" w:color="auto"/>
            <w:right w:val="none" w:sz="0" w:space="0" w:color="auto"/>
          </w:divBdr>
        </w:div>
        <w:div w:id="673799411">
          <w:marLeft w:val="0"/>
          <w:marRight w:val="0"/>
          <w:marTop w:val="0"/>
          <w:marBottom w:val="0"/>
          <w:divBdr>
            <w:top w:val="none" w:sz="0" w:space="0" w:color="auto"/>
            <w:left w:val="none" w:sz="0" w:space="0" w:color="auto"/>
            <w:bottom w:val="none" w:sz="0" w:space="0" w:color="auto"/>
            <w:right w:val="none" w:sz="0" w:space="0" w:color="auto"/>
          </w:divBdr>
        </w:div>
        <w:div w:id="677274700">
          <w:marLeft w:val="0"/>
          <w:marRight w:val="0"/>
          <w:marTop w:val="0"/>
          <w:marBottom w:val="0"/>
          <w:divBdr>
            <w:top w:val="none" w:sz="0" w:space="0" w:color="auto"/>
            <w:left w:val="none" w:sz="0" w:space="0" w:color="auto"/>
            <w:bottom w:val="none" w:sz="0" w:space="0" w:color="auto"/>
            <w:right w:val="none" w:sz="0" w:space="0" w:color="auto"/>
          </w:divBdr>
        </w:div>
        <w:div w:id="807667539">
          <w:marLeft w:val="0"/>
          <w:marRight w:val="0"/>
          <w:marTop w:val="0"/>
          <w:marBottom w:val="0"/>
          <w:divBdr>
            <w:top w:val="none" w:sz="0" w:space="0" w:color="auto"/>
            <w:left w:val="none" w:sz="0" w:space="0" w:color="auto"/>
            <w:bottom w:val="none" w:sz="0" w:space="0" w:color="auto"/>
            <w:right w:val="none" w:sz="0" w:space="0" w:color="auto"/>
          </w:divBdr>
        </w:div>
        <w:div w:id="1163662994">
          <w:marLeft w:val="0"/>
          <w:marRight w:val="0"/>
          <w:marTop w:val="0"/>
          <w:marBottom w:val="0"/>
          <w:divBdr>
            <w:top w:val="none" w:sz="0" w:space="0" w:color="auto"/>
            <w:left w:val="none" w:sz="0" w:space="0" w:color="auto"/>
            <w:bottom w:val="none" w:sz="0" w:space="0" w:color="auto"/>
            <w:right w:val="none" w:sz="0" w:space="0" w:color="auto"/>
          </w:divBdr>
        </w:div>
        <w:div w:id="1199584277">
          <w:marLeft w:val="0"/>
          <w:marRight w:val="0"/>
          <w:marTop w:val="0"/>
          <w:marBottom w:val="0"/>
          <w:divBdr>
            <w:top w:val="none" w:sz="0" w:space="0" w:color="auto"/>
            <w:left w:val="none" w:sz="0" w:space="0" w:color="auto"/>
            <w:bottom w:val="none" w:sz="0" w:space="0" w:color="auto"/>
            <w:right w:val="none" w:sz="0" w:space="0" w:color="auto"/>
          </w:divBdr>
        </w:div>
        <w:div w:id="1321471002">
          <w:marLeft w:val="0"/>
          <w:marRight w:val="0"/>
          <w:marTop w:val="0"/>
          <w:marBottom w:val="0"/>
          <w:divBdr>
            <w:top w:val="none" w:sz="0" w:space="0" w:color="auto"/>
            <w:left w:val="none" w:sz="0" w:space="0" w:color="auto"/>
            <w:bottom w:val="none" w:sz="0" w:space="0" w:color="auto"/>
            <w:right w:val="none" w:sz="0" w:space="0" w:color="auto"/>
          </w:divBdr>
        </w:div>
        <w:div w:id="1565292223">
          <w:marLeft w:val="0"/>
          <w:marRight w:val="0"/>
          <w:marTop w:val="0"/>
          <w:marBottom w:val="0"/>
          <w:divBdr>
            <w:top w:val="none" w:sz="0" w:space="0" w:color="auto"/>
            <w:left w:val="none" w:sz="0" w:space="0" w:color="auto"/>
            <w:bottom w:val="none" w:sz="0" w:space="0" w:color="auto"/>
            <w:right w:val="none" w:sz="0" w:space="0" w:color="auto"/>
          </w:divBdr>
        </w:div>
        <w:div w:id="1647389870">
          <w:marLeft w:val="0"/>
          <w:marRight w:val="0"/>
          <w:marTop w:val="0"/>
          <w:marBottom w:val="0"/>
          <w:divBdr>
            <w:top w:val="none" w:sz="0" w:space="0" w:color="auto"/>
            <w:left w:val="none" w:sz="0" w:space="0" w:color="auto"/>
            <w:bottom w:val="none" w:sz="0" w:space="0" w:color="auto"/>
            <w:right w:val="none" w:sz="0" w:space="0" w:color="auto"/>
          </w:divBdr>
        </w:div>
        <w:div w:id="1750468788">
          <w:marLeft w:val="0"/>
          <w:marRight w:val="0"/>
          <w:marTop w:val="0"/>
          <w:marBottom w:val="0"/>
          <w:divBdr>
            <w:top w:val="none" w:sz="0" w:space="0" w:color="auto"/>
            <w:left w:val="none" w:sz="0" w:space="0" w:color="auto"/>
            <w:bottom w:val="none" w:sz="0" w:space="0" w:color="auto"/>
            <w:right w:val="none" w:sz="0" w:space="0" w:color="auto"/>
          </w:divBdr>
        </w:div>
        <w:div w:id="1983851446">
          <w:marLeft w:val="0"/>
          <w:marRight w:val="0"/>
          <w:marTop w:val="0"/>
          <w:marBottom w:val="0"/>
          <w:divBdr>
            <w:top w:val="none" w:sz="0" w:space="0" w:color="auto"/>
            <w:left w:val="none" w:sz="0" w:space="0" w:color="auto"/>
            <w:bottom w:val="none" w:sz="0" w:space="0" w:color="auto"/>
            <w:right w:val="none" w:sz="0" w:space="0" w:color="auto"/>
          </w:divBdr>
        </w:div>
      </w:divsChild>
    </w:div>
    <w:div w:id="1961061478">
      <w:bodyDiv w:val="1"/>
      <w:marLeft w:val="0"/>
      <w:marRight w:val="0"/>
      <w:marTop w:val="0"/>
      <w:marBottom w:val="0"/>
      <w:divBdr>
        <w:top w:val="none" w:sz="0" w:space="0" w:color="auto"/>
        <w:left w:val="none" w:sz="0" w:space="0" w:color="auto"/>
        <w:bottom w:val="none" w:sz="0" w:space="0" w:color="auto"/>
        <w:right w:val="none" w:sz="0" w:space="0" w:color="auto"/>
      </w:divBdr>
      <w:divsChild>
        <w:div w:id="18093143">
          <w:marLeft w:val="0"/>
          <w:marRight w:val="0"/>
          <w:marTop w:val="0"/>
          <w:marBottom w:val="0"/>
          <w:divBdr>
            <w:top w:val="none" w:sz="0" w:space="0" w:color="auto"/>
            <w:left w:val="none" w:sz="0" w:space="0" w:color="auto"/>
            <w:bottom w:val="none" w:sz="0" w:space="0" w:color="auto"/>
            <w:right w:val="none" w:sz="0" w:space="0" w:color="auto"/>
          </w:divBdr>
        </w:div>
        <w:div w:id="235092919">
          <w:marLeft w:val="0"/>
          <w:marRight w:val="0"/>
          <w:marTop w:val="0"/>
          <w:marBottom w:val="0"/>
          <w:divBdr>
            <w:top w:val="none" w:sz="0" w:space="0" w:color="auto"/>
            <w:left w:val="none" w:sz="0" w:space="0" w:color="auto"/>
            <w:bottom w:val="none" w:sz="0" w:space="0" w:color="auto"/>
            <w:right w:val="none" w:sz="0" w:space="0" w:color="auto"/>
          </w:divBdr>
        </w:div>
        <w:div w:id="274295670">
          <w:marLeft w:val="0"/>
          <w:marRight w:val="0"/>
          <w:marTop w:val="0"/>
          <w:marBottom w:val="0"/>
          <w:divBdr>
            <w:top w:val="none" w:sz="0" w:space="0" w:color="auto"/>
            <w:left w:val="none" w:sz="0" w:space="0" w:color="auto"/>
            <w:bottom w:val="none" w:sz="0" w:space="0" w:color="auto"/>
            <w:right w:val="none" w:sz="0" w:space="0" w:color="auto"/>
          </w:divBdr>
        </w:div>
        <w:div w:id="647975605">
          <w:marLeft w:val="0"/>
          <w:marRight w:val="0"/>
          <w:marTop w:val="0"/>
          <w:marBottom w:val="0"/>
          <w:divBdr>
            <w:top w:val="none" w:sz="0" w:space="0" w:color="auto"/>
            <w:left w:val="none" w:sz="0" w:space="0" w:color="auto"/>
            <w:bottom w:val="none" w:sz="0" w:space="0" w:color="auto"/>
            <w:right w:val="none" w:sz="0" w:space="0" w:color="auto"/>
          </w:divBdr>
        </w:div>
        <w:div w:id="659239884">
          <w:marLeft w:val="0"/>
          <w:marRight w:val="0"/>
          <w:marTop w:val="0"/>
          <w:marBottom w:val="0"/>
          <w:divBdr>
            <w:top w:val="none" w:sz="0" w:space="0" w:color="auto"/>
            <w:left w:val="none" w:sz="0" w:space="0" w:color="auto"/>
            <w:bottom w:val="none" w:sz="0" w:space="0" w:color="auto"/>
            <w:right w:val="none" w:sz="0" w:space="0" w:color="auto"/>
          </w:divBdr>
        </w:div>
        <w:div w:id="742871994">
          <w:marLeft w:val="0"/>
          <w:marRight w:val="0"/>
          <w:marTop w:val="0"/>
          <w:marBottom w:val="0"/>
          <w:divBdr>
            <w:top w:val="none" w:sz="0" w:space="0" w:color="auto"/>
            <w:left w:val="none" w:sz="0" w:space="0" w:color="auto"/>
            <w:bottom w:val="none" w:sz="0" w:space="0" w:color="auto"/>
            <w:right w:val="none" w:sz="0" w:space="0" w:color="auto"/>
          </w:divBdr>
        </w:div>
        <w:div w:id="783353035">
          <w:marLeft w:val="0"/>
          <w:marRight w:val="0"/>
          <w:marTop w:val="0"/>
          <w:marBottom w:val="0"/>
          <w:divBdr>
            <w:top w:val="none" w:sz="0" w:space="0" w:color="auto"/>
            <w:left w:val="none" w:sz="0" w:space="0" w:color="auto"/>
            <w:bottom w:val="none" w:sz="0" w:space="0" w:color="auto"/>
            <w:right w:val="none" w:sz="0" w:space="0" w:color="auto"/>
          </w:divBdr>
        </w:div>
        <w:div w:id="794060848">
          <w:marLeft w:val="0"/>
          <w:marRight w:val="0"/>
          <w:marTop w:val="0"/>
          <w:marBottom w:val="0"/>
          <w:divBdr>
            <w:top w:val="none" w:sz="0" w:space="0" w:color="auto"/>
            <w:left w:val="none" w:sz="0" w:space="0" w:color="auto"/>
            <w:bottom w:val="none" w:sz="0" w:space="0" w:color="auto"/>
            <w:right w:val="none" w:sz="0" w:space="0" w:color="auto"/>
          </w:divBdr>
        </w:div>
        <w:div w:id="920026129">
          <w:marLeft w:val="0"/>
          <w:marRight w:val="0"/>
          <w:marTop w:val="0"/>
          <w:marBottom w:val="0"/>
          <w:divBdr>
            <w:top w:val="none" w:sz="0" w:space="0" w:color="auto"/>
            <w:left w:val="none" w:sz="0" w:space="0" w:color="auto"/>
            <w:bottom w:val="none" w:sz="0" w:space="0" w:color="auto"/>
            <w:right w:val="none" w:sz="0" w:space="0" w:color="auto"/>
          </w:divBdr>
        </w:div>
        <w:div w:id="1033308944">
          <w:marLeft w:val="0"/>
          <w:marRight w:val="0"/>
          <w:marTop w:val="0"/>
          <w:marBottom w:val="0"/>
          <w:divBdr>
            <w:top w:val="none" w:sz="0" w:space="0" w:color="auto"/>
            <w:left w:val="none" w:sz="0" w:space="0" w:color="auto"/>
            <w:bottom w:val="none" w:sz="0" w:space="0" w:color="auto"/>
            <w:right w:val="none" w:sz="0" w:space="0" w:color="auto"/>
          </w:divBdr>
        </w:div>
        <w:div w:id="1102215484">
          <w:marLeft w:val="0"/>
          <w:marRight w:val="0"/>
          <w:marTop w:val="0"/>
          <w:marBottom w:val="0"/>
          <w:divBdr>
            <w:top w:val="none" w:sz="0" w:space="0" w:color="auto"/>
            <w:left w:val="none" w:sz="0" w:space="0" w:color="auto"/>
            <w:bottom w:val="none" w:sz="0" w:space="0" w:color="auto"/>
            <w:right w:val="none" w:sz="0" w:space="0" w:color="auto"/>
          </w:divBdr>
        </w:div>
        <w:div w:id="1158182460">
          <w:marLeft w:val="0"/>
          <w:marRight w:val="0"/>
          <w:marTop w:val="0"/>
          <w:marBottom w:val="0"/>
          <w:divBdr>
            <w:top w:val="none" w:sz="0" w:space="0" w:color="auto"/>
            <w:left w:val="none" w:sz="0" w:space="0" w:color="auto"/>
            <w:bottom w:val="none" w:sz="0" w:space="0" w:color="auto"/>
            <w:right w:val="none" w:sz="0" w:space="0" w:color="auto"/>
          </w:divBdr>
        </w:div>
        <w:div w:id="1591507094">
          <w:marLeft w:val="0"/>
          <w:marRight w:val="0"/>
          <w:marTop w:val="0"/>
          <w:marBottom w:val="0"/>
          <w:divBdr>
            <w:top w:val="none" w:sz="0" w:space="0" w:color="auto"/>
            <w:left w:val="none" w:sz="0" w:space="0" w:color="auto"/>
            <w:bottom w:val="none" w:sz="0" w:space="0" w:color="auto"/>
            <w:right w:val="none" w:sz="0" w:space="0" w:color="auto"/>
          </w:divBdr>
        </w:div>
        <w:div w:id="1816678417">
          <w:marLeft w:val="0"/>
          <w:marRight w:val="0"/>
          <w:marTop w:val="0"/>
          <w:marBottom w:val="0"/>
          <w:divBdr>
            <w:top w:val="none" w:sz="0" w:space="0" w:color="auto"/>
            <w:left w:val="none" w:sz="0" w:space="0" w:color="auto"/>
            <w:bottom w:val="none" w:sz="0" w:space="0" w:color="auto"/>
            <w:right w:val="none" w:sz="0" w:space="0" w:color="auto"/>
          </w:divBdr>
        </w:div>
        <w:div w:id="1902867519">
          <w:marLeft w:val="0"/>
          <w:marRight w:val="0"/>
          <w:marTop w:val="0"/>
          <w:marBottom w:val="0"/>
          <w:divBdr>
            <w:top w:val="none" w:sz="0" w:space="0" w:color="auto"/>
            <w:left w:val="none" w:sz="0" w:space="0" w:color="auto"/>
            <w:bottom w:val="none" w:sz="0" w:space="0" w:color="auto"/>
            <w:right w:val="none" w:sz="0" w:space="0" w:color="auto"/>
          </w:divBdr>
        </w:div>
        <w:div w:id="1907715805">
          <w:marLeft w:val="0"/>
          <w:marRight w:val="0"/>
          <w:marTop w:val="0"/>
          <w:marBottom w:val="0"/>
          <w:divBdr>
            <w:top w:val="none" w:sz="0" w:space="0" w:color="auto"/>
            <w:left w:val="none" w:sz="0" w:space="0" w:color="auto"/>
            <w:bottom w:val="none" w:sz="0" w:space="0" w:color="auto"/>
            <w:right w:val="none" w:sz="0" w:space="0" w:color="auto"/>
          </w:divBdr>
        </w:div>
        <w:div w:id="2104183533">
          <w:marLeft w:val="0"/>
          <w:marRight w:val="0"/>
          <w:marTop w:val="0"/>
          <w:marBottom w:val="0"/>
          <w:divBdr>
            <w:top w:val="none" w:sz="0" w:space="0" w:color="auto"/>
            <w:left w:val="none" w:sz="0" w:space="0" w:color="auto"/>
            <w:bottom w:val="none" w:sz="0" w:space="0" w:color="auto"/>
            <w:right w:val="none" w:sz="0" w:space="0" w:color="auto"/>
          </w:divBdr>
        </w:div>
      </w:divsChild>
    </w:div>
    <w:div w:id="1981763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valerie.malo@cfwb.b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gaetane.dupont@cfwb.b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mailto:pauline.vanhulle@cfwb.be"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2.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2B816A-1593-4A5C-8B75-083BB35224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23</Pages>
  <Words>5839</Words>
  <Characters>32920</Characters>
  <Application>Microsoft Office Word</Application>
  <DocSecurity>0</DocSecurity>
  <Lines>274</Lines>
  <Paragraphs>77</Paragraphs>
  <ScaleCrop>false</ScaleCrop>
  <HeadingPairs>
    <vt:vector size="2" baseType="variant">
      <vt:variant>
        <vt:lpstr>Titre</vt:lpstr>
      </vt:variant>
      <vt:variant>
        <vt:i4>1</vt:i4>
      </vt:variant>
    </vt:vector>
  </HeadingPairs>
  <TitlesOfParts>
    <vt:vector size="1" baseType="lpstr">
      <vt:lpstr>OBJET : Recours contre les décisions des conseils de classe dans l’enseignement secondaire de plein exercice</vt:lpstr>
    </vt:vector>
  </TitlesOfParts>
  <Company>CFWB</Company>
  <LinksUpToDate>false</LinksUpToDate>
  <CharactersWithSpaces>38682</CharactersWithSpaces>
  <SharedDoc>false</SharedDoc>
  <HLinks>
    <vt:vector size="36" baseType="variant">
      <vt:variant>
        <vt:i4>983144</vt:i4>
      </vt:variant>
      <vt:variant>
        <vt:i4>56</vt:i4>
      </vt:variant>
      <vt:variant>
        <vt:i4>0</vt:i4>
      </vt:variant>
      <vt:variant>
        <vt:i4>5</vt:i4>
      </vt:variant>
      <vt:variant>
        <vt:lpwstr>mailto:julien.louis@cfwb.be</vt:lpwstr>
      </vt:variant>
      <vt:variant>
        <vt:lpwstr/>
      </vt:variant>
      <vt:variant>
        <vt:i4>4259900</vt:i4>
      </vt:variant>
      <vt:variant>
        <vt:i4>53</vt:i4>
      </vt:variant>
      <vt:variant>
        <vt:i4>0</vt:i4>
      </vt:variant>
      <vt:variant>
        <vt:i4>5</vt:i4>
      </vt:variant>
      <vt:variant>
        <vt:lpwstr>mailto:david.brancaleoni@cfwb.be</vt:lpwstr>
      </vt:variant>
      <vt:variant>
        <vt:lpwstr/>
      </vt:variant>
      <vt:variant>
        <vt:i4>786554</vt:i4>
      </vt:variant>
      <vt:variant>
        <vt:i4>50</vt:i4>
      </vt:variant>
      <vt:variant>
        <vt:i4>0</vt:i4>
      </vt:variant>
      <vt:variant>
        <vt:i4>5</vt:i4>
      </vt:variant>
      <vt:variant>
        <vt:lpwstr>mailto:delphine.baillet@cfwb.be</vt:lpwstr>
      </vt:variant>
      <vt:variant>
        <vt:lpwstr/>
      </vt:variant>
      <vt:variant>
        <vt:i4>1900667</vt:i4>
      </vt:variant>
      <vt:variant>
        <vt:i4>47</vt:i4>
      </vt:variant>
      <vt:variant>
        <vt:i4>0</vt:i4>
      </vt:variant>
      <vt:variant>
        <vt:i4>5</vt:i4>
      </vt:variant>
      <vt:variant>
        <vt:lpwstr>mailto:caroline.vincent@cfwb.be</vt:lpwstr>
      </vt:variant>
      <vt:variant>
        <vt:lpwstr/>
      </vt:variant>
      <vt:variant>
        <vt:i4>4980797</vt:i4>
      </vt:variant>
      <vt:variant>
        <vt:i4>44</vt:i4>
      </vt:variant>
      <vt:variant>
        <vt:i4>0</vt:i4>
      </vt:variant>
      <vt:variant>
        <vt:i4>5</vt:i4>
      </vt:variant>
      <vt:variant>
        <vt:lpwstr>mailto:pauline.vanhulle@cfwb.be</vt:lpwstr>
      </vt:variant>
      <vt:variant>
        <vt:lpwstr/>
      </vt:variant>
      <vt:variant>
        <vt:i4>2097247</vt:i4>
      </vt:variant>
      <vt:variant>
        <vt:i4>41</vt:i4>
      </vt:variant>
      <vt:variant>
        <vt:i4>0</vt:i4>
      </vt:variant>
      <vt:variant>
        <vt:i4>5</vt:i4>
      </vt:variant>
      <vt:variant>
        <vt:lpwstr>mailto:pascale.coenen@cfwb.be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OBJET : Recours contre les décisions des conseils de classe dans l’enseignement secondaire de plein exercice</dc:title>
  <dc:creator>CFWB</dc:creator>
  <cp:lastModifiedBy>DRIESEN Olivier</cp:lastModifiedBy>
  <cp:revision>4</cp:revision>
  <cp:lastPrinted>2018-06-18T08:06:00Z</cp:lastPrinted>
  <dcterms:created xsi:type="dcterms:W3CDTF">2018-06-25T08:51:00Z</dcterms:created>
  <dcterms:modified xsi:type="dcterms:W3CDTF">2018-06-25T09:23:00Z</dcterms:modified>
</cp:coreProperties>
</file>